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C28F" w14:textId="37031D47" w:rsidR="009A2A1B" w:rsidRPr="009A2A1B" w:rsidRDefault="009A2A1B" w:rsidP="009A2A1B">
      <w:pPr>
        <w:pStyle w:val="Heading1"/>
        <w:jc w:val="center"/>
        <w:rPr>
          <w:b/>
          <w:bCs/>
          <w:color w:val="000000" w:themeColor="text1"/>
          <w:sz w:val="28"/>
          <w:szCs w:val="28"/>
        </w:rPr>
      </w:pPr>
      <w:r w:rsidRPr="009A2A1B">
        <w:rPr>
          <w:b/>
          <w:bCs/>
          <w:color w:val="000000" w:themeColor="text1"/>
          <w:sz w:val="28"/>
          <w:szCs w:val="28"/>
        </w:rPr>
        <w:t>Course Syllabus</w:t>
      </w:r>
    </w:p>
    <w:p w14:paraId="2B501580" w14:textId="6A073AF6" w:rsidR="009A2A1B" w:rsidRDefault="009A2A1B"/>
    <w:p w14:paraId="326DDF76" w14:textId="77777777" w:rsidR="009A2A1B" w:rsidRDefault="009A2A1B"/>
    <w:tbl>
      <w:tblPr>
        <w:tblW w:w="0" w:type="auto"/>
        <w:tblLook w:val="01E0" w:firstRow="1" w:lastRow="1" w:firstColumn="1" w:lastColumn="1" w:noHBand="0" w:noVBand="0"/>
        <w:tblDescription w:val="This table describes the course information: (1) course prefix, course number, and section, (2) course title, (3) professor name who is teaching the course, (4) term dates, and (5) the meeting time and location for this course.  "/>
      </w:tblPr>
      <w:tblGrid>
        <w:gridCol w:w="1737"/>
        <w:gridCol w:w="1597"/>
        <w:gridCol w:w="5306"/>
      </w:tblGrid>
      <w:tr w:rsidR="008832FA" w14:paraId="0821C6E3" w14:textId="77777777" w:rsidTr="009A2A1B">
        <w:trPr>
          <w:tblHeader/>
        </w:trPr>
        <w:tc>
          <w:tcPr>
            <w:tcW w:w="1737" w:type="dxa"/>
            <w:vMerge w:val="restart"/>
            <w:vAlign w:val="center"/>
          </w:tcPr>
          <w:p w14:paraId="063FA6F6" w14:textId="4F56E0B9" w:rsidR="0099223B" w:rsidRDefault="008832FA" w:rsidP="00280748">
            <w:pPr>
              <w:jc w:val="center"/>
            </w:pPr>
            <w:r>
              <w:rPr>
                <w:noProof/>
              </w:rPr>
              <w:drawing>
                <wp:inline distT="0" distB="0" distL="0" distR="0" wp14:anchorId="52F7ED20" wp14:editId="61FADED1">
                  <wp:extent cx="966354" cy="96635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597" w:type="dxa"/>
            <w:vAlign w:val="center"/>
          </w:tcPr>
          <w:p w14:paraId="52F4F060" w14:textId="77777777" w:rsidR="00280748" w:rsidRPr="008832FA" w:rsidRDefault="00280748" w:rsidP="00280748">
            <w:pPr>
              <w:jc w:val="right"/>
              <w:rPr>
                <w:rFonts w:cs="Arial"/>
                <w:b/>
                <w:sz w:val="20"/>
                <w:szCs w:val="20"/>
              </w:rPr>
            </w:pPr>
            <w:r w:rsidRPr="008832FA">
              <w:rPr>
                <w:rFonts w:cs="Arial"/>
                <w:b/>
                <w:sz w:val="20"/>
                <w:szCs w:val="20"/>
              </w:rPr>
              <w:t>Course</w:t>
            </w:r>
          </w:p>
        </w:tc>
        <w:tc>
          <w:tcPr>
            <w:tcW w:w="5306" w:type="dxa"/>
            <w:vAlign w:val="center"/>
          </w:tcPr>
          <w:p w14:paraId="19B677E2" w14:textId="71587584" w:rsidR="00280748" w:rsidRPr="00E80CBC" w:rsidRDefault="00AA2AEA" w:rsidP="00280748">
            <w:pPr>
              <w:rPr>
                <w:rFonts w:cs="Arial"/>
                <w:bCs/>
              </w:rPr>
            </w:pPr>
            <w:r>
              <w:rPr>
                <w:rFonts w:cs="Arial"/>
                <w:bCs/>
              </w:rPr>
              <w:t>CS/SE 7301.003</w:t>
            </w:r>
          </w:p>
        </w:tc>
      </w:tr>
      <w:tr w:rsidR="008832FA" w14:paraId="21FBEF7C" w14:textId="77777777" w:rsidTr="009A2A1B">
        <w:trPr>
          <w:tblHeader/>
        </w:trPr>
        <w:tc>
          <w:tcPr>
            <w:tcW w:w="1737" w:type="dxa"/>
            <w:vMerge/>
            <w:vAlign w:val="center"/>
          </w:tcPr>
          <w:p w14:paraId="12D7A545" w14:textId="77777777" w:rsidR="00D8779E" w:rsidRDefault="00D8779E" w:rsidP="00280748">
            <w:pPr>
              <w:jc w:val="center"/>
            </w:pPr>
          </w:p>
        </w:tc>
        <w:tc>
          <w:tcPr>
            <w:tcW w:w="1597" w:type="dxa"/>
            <w:vAlign w:val="center"/>
          </w:tcPr>
          <w:p w14:paraId="75EC0162" w14:textId="77777777" w:rsidR="00D8779E" w:rsidRPr="008832FA" w:rsidRDefault="00D8779E" w:rsidP="00AE7681">
            <w:pPr>
              <w:jc w:val="right"/>
              <w:rPr>
                <w:rFonts w:cs="Arial"/>
                <w:b/>
                <w:sz w:val="20"/>
                <w:szCs w:val="20"/>
              </w:rPr>
            </w:pPr>
            <w:r w:rsidRPr="008832FA">
              <w:rPr>
                <w:rFonts w:cs="Arial"/>
                <w:b/>
                <w:sz w:val="20"/>
                <w:szCs w:val="20"/>
              </w:rPr>
              <w:t>Course Title</w:t>
            </w:r>
          </w:p>
        </w:tc>
        <w:tc>
          <w:tcPr>
            <w:tcW w:w="5306" w:type="dxa"/>
            <w:vAlign w:val="center"/>
          </w:tcPr>
          <w:p w14:paraId="79FE0B14" w14:textId="2C95768E" w:rsidR="00D8779E" w:rsidRPr="00E80CBC" w:rsidRDefault="00AA2AEA" w:rsidP="00AE7681">
            <w:pPr>
              <w:rPr>
                <w:rFonts w:cs="Arial"/>
                <w:bCs/>
              </w:rPr>
            </w:pPr>
            <w:r>
              <w:rPr>
                <w:rFonts w:cs="Arial"/>
                <w:bCs/>
              </w:rPr>
              <w:t>Recent Advances in Computing — Computational Topology</w:t>
            </w:r>
          </w:p>
        </w:tc>
      </w:tr>
      <w:tr w:rsidR="008832FA" w14:paraId="63156512" w14:textId="77777777" w:rsidTr="009A2A1B">
        <w:trPr>
          <w:tblHeader/>
        </w:trPr>
        <w:tc>
          <w:tcPr>
            <w:tcW w:w="1737" w:type="dxa"/>
            <w:vMerge/>
          </w:tcPr>
          <w:p w14:paraId="591F2D34" w14:textId="77777777" w:rsidR="00D8779E" w:rsidRDefault="00D8779E"/>
        </w:tc>
        <w:tc>
          <w:tcPr>
            <w:tcW w:w="1597" w:type="dxa"/>
            <w:vAlign w:val="center"/>
          </w:tcPr>
          <w:p w14:paraId="1C1616D5" w14:textId="77777777" w:rsidR="00D8779E" w:rsidRPr="008832FA" w:rsidRDefault="00D8779E" w:rsidP="00280748">
            <w:pPr>
              <w:jc w:val="right"/>
              <w:rPr>
                <w:rFonts w:cs="Arial"/>
                <w:b/>
                <w:sz w:val="20"/>
                <w:szCs w:val="20"/>
              </w:rPr>
            </w:pPr>
            <w:r w:rsidRPr="008832FA">
              <w:rPr>
                <w:rFonts w:cs="Arial"/>
                <w:b/>
                <w:sz w:val="20"/>
                <w:szCs w:val="20"/>
              </w:rPr>
              <w:t>Professor</w:t>
            </w:r>
          </w:p>
        </w:tc>
        <w:tc>
          <w:tcPr>
            <w:tcW w:w="5306" w:type="dxa"/>
            <w:vAlign w:val="center"/>
          </w:tcPr>
          <w:p w14:paraId="1676B549" w14:textId="5F5D5C4C" w:rsidR="00D8779E" w:rsidRPr="008832FA" w:rsidRDefault="00AA2AEA" w:rsidP="00280748">
            <w:pPr>
              <w:rPr>
                <w:rFonts w:cs="Arial"/>
              </w:rPr>
            </w:pPr>
            <w:r>
              <w:rPr>
                <w:rFonts w:cs="Arial"/>
              </w:rPr>
              <w:t>Kyle Fox</w:t>
            </w:r>
          </w:p>
        </w:tc>
      </w:tr>
      <w:tr w:rsidR="008832FA" w14:paraId="2E6F3340" w14:textId="77777777" w:rsidTr="009A2A1B">
        <w:trPr>
          <w:tblHeader/>
        </w:trPr>
        <w:tc>
          <w:tcPr>
            <w:tcW w:w="1737" w:type="dxa"/>
            <w:vMerge/>
          </w:tcPr>
          <w:p w14:paraId="46D33C2E" w14:textId="77777777" w:rsidR="00D8779E" w:rsidRDefault="00D8779E"/>
        </w:tc>
        <w:tc>
          <w:tcPr>
            <w:tcW w:w="1597" w:type="dxa"/>
            <w:vAlign w:val="center"/>
          </w:tcPr>
          <w:p w14:paraId="30B885FB" w14:textId="77777777" w:rsidR="00D8779E" w:rsidRPr="008832FA" w:rsidRDefault="00D8779E" w:rsidP="00280748">
            <w:pPr>
              <w:jc w:val="right"/>
              <w:rPr>
                <w:rFonts w:cs="Arial"/>
                <w:b/>
                <w:sz w:val="20"/>
                <w:szCs w:val="20"/>
              </w:rPr>
            </w:pPr>
            <w:r w:rsidRPr="008832FA">
              <w:rPr>
                <w:rFonts w:cs="Arial"/>
                <w:b/>
                <w:sz w:val="20"/>
                <w:szCs w:val="20"/>
              </w:rPr>
              <w:t>Term</w:t>
            </w:r>
          </w:p>
        </w:tc>
        <w:tc>
          <w:tcPr>
            <w:tcW w:w="5306" w:type="dxa"/>
            <w:vAlign w:val="center"/>
          </w:tcPr>
          <w:p w14:paraId="31F8BCC9" w14:textId="7CEF9DCD" w:rsidR="00D8779E" w:rsidRPr="008832FA" w:rsidRDefault="00AA2AEA" w:rsidP="00280748">
            <w:pPr>
              <w:rPr>
                <w:rFonts w:cs="Arial"/>
              </w:rPr>
            </w:pPr>
            <w:r>
              <w:rPr>
                <w:rFonts w:cs="Arial"/>
              </w:rPr>
              <w:t>Fall 2020</w:t>
            </w:r>
          </w:p>
        </w:tc>
      </w:tr>
      <w:tr w:rsidR="008832FA" w14:paraId="61C01655" w14:textId="77777777" w:rsidTr="009A2A1B">
        <w:trPr>
          <w:tblHeader/>
        </w:trPr>
        <w:tc>
          <w:tcPr>
            <w:tcW w:w="1737" w:type="dxa"/>
            <w:vMerge/>
          </w:tcPr>
          <w:p w14:paraId="7B0DFBFB" w14:textId="77777777" w:rsidR="00D8779E" w:rsidRDefault="00D8779E"/>
        </w:tc>
        <w:tc>
          <w:tcPr>
            <w:tcW w:w="1597" w:type="dxa"/>
            <w:vAlign w:val="center"/>
          </w:tcPr>
          <w:p w14:paraId="6288D54D" w14:textId="77777777" w:rsidR="00D8779E" w:rsidRPr="008832FA" w:rsidRDefault="00D8779E" w:rsidP="00280748">
            <w:pPr>
              <w:jc w:val="right"/>
              <w:rPr>
                <w:rFonts w:cs="Arial"/>
                <w:b/>
                <w:sz w:val="20"/>
                <w:szCs w:val="20"/>
              </w:rPr>
            </w:pPr>
            <w:r w:rsidRPr="008832FA">
              <w:rPr>
                <w:rFonts w:cs="Arial"/>
                <w:b/>
                <w:sz w:val="20"/>
                <w:szCs w:val="20"/>
              </w:rPr>
              <w:t>Meetings</w:t>
            </w:r>
          </w:p>
        </w:tc>
        <w:tc>
          <w:tcPr>
            <w:tcW w:w="5306" w:type="dxa"/>
            <w:vAlign w:val="center"/>
          </w:tcPr>
          <w:p w14:paraId="366BD466" w14:textId="62B26E46" w:rsidR="00D8779E" w:rsidRPr="008832FA" w:rsidRDefault="00AA2AEA" w:rsidP="00280748">
            <w:pPr>
              <w:rPr>
                <w:rFonts w:cs="Arial"/>
              </w:rPr>
            </w:pPr>
            <w:r>
              <w:rPr>
                <w:rFonts w:cs="Arial"/>
              </w:rPr>
              <w:t>1:00pm–2:15pm, Mondays and Wednesdays</w:t>
            </w:r>
          </w:p>
        </w:tc>
      </w:tr>
    </w:tbl>
    <w:p w14:paraId="2125AD72" w14:textId="77777777" w:rsidR="00280748" w:rsidRDefault="00280748" w:rsidP="00280748">
      <w:pPr>
        <w:pBdr>
          <w:bottom w:val="single" w:sz="12" w:space="1" w:color="auto"/>
        </w:pBdr>
      </w:pPr>
    </w:p>
    <w:p w14:paraId="3D7BBDD7" w14:textId="77777777" w:rsidR="00280748" w:rsidRDefault="00280748" w:rsidP="00280748"/>
    <w:p w14:paraId="4C20461B" w14:textId="0FA19C98"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tc>
          <w:tcPr>
            <w:tcW w:w="6579" w:type="dxa"/>
            <w:vAlign w:val="center"/>
          </w:tcPr>
          <w:p w14:paraId="47400279" w14:textId="7896C485" w:rsidR="00280748" w:rsidRPr="00540F59" w:rsidRDefault="00AA2AEA" w:rsidP="00E80CBC">
            <w:r>
              <w:t>(972) 883-4168</w:t>
            </w:r>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tc>
          <w:tcPr>
            <w:tcW w:w="6579" w:type="dxa"/>
            <w:vAlign w:val="center"/>
          </w:tcPr>
          <w:p w14:paraId="2ECD6D0D" w14:textId="3AA8E0F8" w:rsidR="00280748" w:rsidRPr="00540F59" w:rsidRDefault="00AA2AEA" w:rsidP="00E80CBC">
            <w:r>
              <w:t>ECSS 4.224 (all meetings will likely be online)</w:t>
            </w:r>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tc>
          <w:tcPr>
            <w:tcW w:w="6579" w:type="dxa"/>
            <w:vAlign w:val="center"/>
          </w:tcPr>
          <w:p w14:paraId="2DAA2B4D" w14:textId="083CBF24" w:rsidR="00280748" w:rsidRPr="00540F59" w:rsidRDefault="00AA2AEA" w:rsidP="00E80CBC">
            <w:r>
              <w:t>kyle.fox@utdallas.edu</w:t>
            </w:r>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18702EC4" w:rsidR="00280748" w:rsidRPr="00540F59" w:rsidRDefault="00A17795" w:rsidP="00E80CBC">
            <w:r>
              <w:t>2:30pm–3:30pm, Wednesdays and 10:30am–11:30am Thursdays via MS Teams (tentative)</w:t>
            </w:r>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34926C37" w:rsidR="00280748" w:rsidRPr="00540F59" w:rsidRDefault="00A17795" w:rsidP="00E80CBC">
            <w:r>
              <w:t>Additional office hours available by request. Please email Kyle directly.</w:t>
            </w:r>
          </w:p>
        </w:tc>
      </w:tr>
    </w:tbl>
    <w:p w14:paraId="5260FBFD" w14:textId="16E43A65" w:rsidR="00280748" w:rsidRDefault="00280748" w:rsidP="00280748"/>
    <w:p w14:paraId="4494FAC9" w14:textId="77777777" w:rsidR="00B92FCA" w:rsidRPr="0050018E" w:rsidRDefault="00B92FCA" w:rsidP="00B92FCA">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B92FCA" w:rsidRPr="00A17795" w14:paraId="4C66A862" w14:textId="77777777" w:rsidTr="00C22E7A">
        <w:trPr>
          <w:tblHeader/>
        </w:trPr>
        <w:tc>
          <w:tcPr>
            <w:tcW w:w="1733" w:type="dxa"/>
            <w:vAlign w:val="center"/>
          </w:tcPr>
          <w:p w14:paraId="2265BCA0" w14:textId="77777777" w:rsidR="00B92FCA" w:rsidRPr="00327359" w:rsidRDefault="00B92FCA" w:rsidP="00C22E7A">
            <w:pPr>
              <w:pStyle w:val="BodyText"/>
              <w:rPr>
                <w:b/>
                <w:bCs/>
                <w:sz w:val="22"/>
              </w:rPr>
            </w:pPr>
            <w:r w:rsidRPr="00327359">
              <w:rPr>
                <w:b/>
                <w:bCs/>
                <w:sz w:val="22"/>
              </w:rPr>
              <w:t>Instructional Mode</w:t>
            </w:r>
          </w:p>
        </w:tc>
        <w:tc>
          <w:tcPr>
            <w:tcW w:w="6897" w:type="dxa"/>
            <w:vAlign w:val="center"/>
          </w:tcPr>
          <w:p w14:paraId="3402042B" w14:textId="76BFD0E2" w:rsidR="00B92FCA" w:rsidRPr="00A17795" w:rsidRDefault="00A17795" w:rsidP="00C22E7A">
            <w:pPr>
              <w:pStyle w:val="BodyText"/>
              <w:rPr>
                <w:sz w:val="22"/>
              </w:rPr>
            </w:pPr>
            <w:r w:rsidRPr="00A17795">
              <w:rPr>
                <w:sz w:val="22"/>
              </w:rPr>
              <w:t xml:space="preserve">Remote: Synchronous online lectures delivered during the </w:t>
            </w:r>
            <w:r>
              <w:rPr>
                <w:sz w:val="22"/>
              </w:rPr>
              <w:t>day and time of class over MS Teams.</w:t>
            </w:r>
          </w:p>
        </w:tc>
      </w:tr>
      <w:tr w:rsidR="00B92FCA" w14:paraId="7834AA73" w14:textId="77777777" w:rsidTr="00C22E7A">
        <w:trPr>
          <w:tblHeader/>
        </w:trPr>
        <w:tc>
          <w:tcPr>
            <w:tcW w:w="1990" w:type="dxa"/>
            <w:vAlign w:val="center"/>
          </w:tcPr>
          <w:p w14:paraId="19568B60" w14:textId="77777777" w:rsidR="00B92FCA" w:rsidRPr="00327359" w:rsidRDefault="00B92FCA" w:rsidP="00C22E7A">
            <w:pPr>
              <w:pStyle w:val="BodyText"/>
              <w:rPr>
                <w:rFonts w:eastAsia="Arial" w:cs="Arial"/>
                <w:b/>
                <w:bCs/>
                <w:sz w:val="22"/>
              </w:rPr>
            </w:pPr>
            <w:r w:rsidRPr="00327359">
              <w:rPr>
                <w:rFonts w:eastAsia="Arial" w:cs="Arial"/>
                <w:b/>
                <w:bCs/>
                <w:sz w:val="22"/>
              </w:rPr>
              <w:t>Course Platform</w:t>
            </w:r>
          </w:p>
        </w:tc>
        <w:tc>
          <w:tcPr>
            <w:tcW w:w="6640" w:type="dxa"/>
            <w:vAlign w:val="center"/>
          </w:tcPr>
          <w:p w14:paraId="282D9833" w14:textId="5971C06B" w:rsidR="00B92FCA" w:rsidRPr="00327359" w:rsidRDefault="00A17795" w:rsidP="00C22E7A">
            <w:pPr>
              <w:pStyle w:val="BodyText"/>
              <w:rPr>
                <w:rFonts w:eastAsia="Arial" w:cs="Arial"/>
                <w:noProof/>
                <w:sz w:val="22"/>
              </w:rPr>
            </w:pPr>
            <w:r>
              <w:rPr>
                <w:rFonts w:eastAsia="Arial" w:cs="Arial"/>
                <w:noProof/>
                <w:sz w:val="22"/>
              </w:rPr>
              <w:t>All</w:t>
            </w:r>
            <w:r w:rsidR="00156641">
              <w:rPr>
                <w:rFonts w:eastAsia="Arial" w:cs="Arial"/>
                <w:noProof/>
                <w:sz w:val="22"/>
              </w:rPr>
              <w:t xml:space="preserve"> live</w:t>
            </w:r>
            <w:r>
              <w:rPr>
                <w:rFonts w:eastAsia="Arial" w:cs="Arial"/>
                <w:noProof/>
                <w:sz w:val="22"/>
              </w:rPr>
              <w:t xml:space="preserve"> lectures and office hours will be held over MS Teams.</w:t>
            </w:r>
            <w:r w:rsidR="00156641">
              <w:rPr>
                <w:rFonts w:eastAsia="Arial" w:cs="Arial"/>
                <w:noProof/>
                <w:sz w:val="22"/>
              </w:rPr>
              <w:t xml:space="preserve"> See links posted in the CS 7301.003 2208 team. Videos of live lectures will be saved in the Lectures channel for later viewing.</w:t>
            </w:r>
          </w:p>
        </w:tc>
      </w:tr>
      <w:tr w:rsidR="00B92FCA" w:rsidRPr="00F5627D" w14:paraId="08C54B12" w14:textId="77777777" w:rsidTr="00C22E7A">
        <w:trPr>
          <w:tblHeader/>
        </w:trPr>
        <w:tc>
          <w:tcPr>
            <w:tcW w:w="1733" w:type="dxa"/>
            <w:vAlign w:val="center"/>
          </w:tcPr>
          <w:p w14:paraId="177BFA63" w14:textId="77777777" w:rsidR="00B92FCA" w:rsidRPr="00327359" w:rsidRDefault="00B92FCA" w:rsidP="00C22E7A">
            <w:pPr>
              <w:pStyle w:val="BodyText"/>
              <w:rPr>
                <w:b/>
                <w:bCs/>
                <w:sz w:val="22"/>
              </w:rPr>
            </w:pPr>
            <w:r w:rsidRPr="00327359">
              <w:rPr>
                <w:b/>
                <w:bCs/>
                <w:sz w:val="22"/>
              </w:rPr>
              <w:t>Expectations</w:t>
            </w:r>
          </w:p>
        </w:tc>
        <w:tc>
          <w:tcPr>
            <w:tcW w:w="6897" w:type="dxa"/>
            <w:vAlign w:val="center"/>
          </w:tcPr>
          <w:p w14:paraId="0A415E24" w14:textId="4FF529C2" w:rsidR="00B92FCA" w:rsidRPr="00327359" w:rsidRDefault="00156641" w:rsidP="00C22E7A">
            <w:pPr>
              <w:pStyle w:val="BodyText"/>
              <w:rPr>
                <w:sz w:val="22"/>
              </w:rPr>
            </w:pPr>
            <w:bookmarkStart w:id="0" w:name="OLE_LINK3"/>
            <w:bookmarkStart w:id="1" w:name="OLE_LINK4"/>
            <w:r>
              <w:rPr>
                <w:sz w:val="22"/>
              </w:rPr>
              <w:t>If possible, students should attend live lectures so they can ask questions or comment as material is being delivered. No explanation is required or expected if students miss some or even all of the live lectures.</w:t>
            </w:r>
            <w:bookmarkEnd w:id="0"/>
            <w:bookmarkEnd w:id="1"/>
          </w:p>
        </w:tc>
      </w:tr>
      <w:tr w:rsidR="00B92FCA" w14:paraId="78B8B63C" w14:textId="77777777" w:rsidTr="00C22E7A">
        <w:trPr>
          <w:tblHeader/>
        </w:trPr>
        <w:tc>
          <w:tcPr>
            <w:tcW w:w="1990" w:type="dxa"/>
            <w:vAlign w:val="center"/>
          </w:tcPr>
          <w:p w14:paraId="13DDA9AA" w14:textId="77777777" w:rsidR="00B92FCA" w:rsidRPr="00327359" w:rsidRDefault="00B92FCA" w:rsidP="00C22E7A">
            <w:pPr>
              <w:pStyle w:val="BodyText"/>
              <w:spacing w:line="259" w:lineRule="auto"/>
              <w:rPr>
                <w:sz w:val="22"/>
              </w:rPr>
            </w:pPr>
            <w:r w:rsidRPr="00327359">
              <w:rPr>
                <w:rFonts w:eastAsia="Arial" w:cs="Arial"/>
                <w:b/>
                <w:bCs/>
                <w:sz w:val="22"/>
              </w:rPr>
              <w:t>Asynchronous Learning Guidelines</w:t>
            </w:r>
          </w:p>
        </w:tc>
        <w:tc>
          <w:tcPr>
            <w:tcW w:w="6640" w:type="dxa"/>
            <w:vAlign w:val="center"/>
          </w:tcPr>
          <w:p w14:paraId="39C2941C" w14:textId="17374866" w:rsidR="00B92FCA" w:rsidRPr="00327359" w:rsidRDefault="00156641" w:rsidP="00C22E7A">
            <w:pPr>
              <w:pStyle w:val="BodyText"/>
              <w:rPr>
                <w:sz w:val="22"/>
              </w:rPr>
            </w:pPr>
            <w:r>
              <w:rPr>
                <w:rFonts w:eastAsia="Arial" w:cs="Arial"/>
                <w:noProof/>
                <w:sz w:val="22"/>
              </w:rPr>
              <w:t>Recorded lectures will be provided in the Lectures channel on MS Teams as soon as they are available</w:t>
            </w:r>
            <w:r w:rsidR="00B92FCA" w:rsidRPr="00327359">
              <w:rPr>
                <w:rFonts w:eastAsia="Arial" w:cs="Arial"/>
                <w:noProof/>
                <w:sz w:val="22"/>
              </w:rPr>
              <w:t>.</w:t>
            </w:r>
            <w:r>
              <w:rPr>
                <w:rFonts w:eastAsia="Arial" w:cs="Arial"/>
                <w:noProof/>
                <w:sz w:val="22"/>
              </w:rPr>
              <w:t xml:space="preserve"> Homework deadlines will be the same for students chosing or not chosing the ansynchronous option. There are no exams, but there is a project presentation (see below). We can arrange for Kyle to present a recording or slides if students cannot present during normal course hours.</w:t>
            </w:r>
            <w:r w:rsidR="00B92FCA" w:rsidRPr="00327359">
              <w:rPr>
                <w:rFonts w:eastAsia="Arial" w:cs="Arial"/>
                <w:noProof/>
                <w:sz w:val="22"/>
              </w:rPr>
              <w:t xml:space="preserve"> </w:t>
            </w:r>
            <w:r>
              <w:rPr>
                <w:rFonts w:eastAsia="Arial" w:cs="Arial"/>
                <w:noProof/>
                <w:sz w:val="22"/>
              </w:rPr>
              <w:t xml:space="preserve">See </w:t>
            </w:r>
            <w:r w:rsidR="00B92FCA" w:rsidRPr="00327359">
              <w:rPr>
                <w:rFonts w:eastAsia="Arial" w:cs="Arial"/>
                <w:noProof/>
                <w:sz w:val="22"/>
              </w:rPr>
              <w:t xml:space="preserve"> </w:t>
            </w:r>
            <w:hyperlink r:id="rId8" w:history="1">
              <w:r w:rsidR="00B92FCA" w:rsidRPr="00327359">
                <w:rPr>
                  <w:rStyle w:val="Hyperlink"/>
                  <w:rFonts w:eastAsia="Arial" w:cs="Arial"/>
                  <w:noProof/>
                  <w:sz w:val="22"/>
                </w:rPr>
                <w:t>https://www.utdallas.edu/fall-2020/asynchronous-access-for-fall-2020/</w:t>
              </w:r>
            </w:hyperlink>
            <w:r w:rsidRPr="00327359">
              <w:rPr>
                <w:rFonts w:eastAsia="Arial" w:cs="Arial"/>
                <w:noProof/>
                <w:sz w:val="22"/>
              </w:rPr>
              <w:t xml:space="preserve"> </w:t>
            </w:r>
            <w:r>
              <w:rPr>
                <w:rFonts w:eastAsia="Arial" w:cs="Arial"/>
                <w:noProof/>
                <w:sz w:val="22"/>
              </w:rPr>
              <w:t>for some frequently asked questions about asynchronous learning.</w:t>
            </w:r>
          </w:p>
        </w:tc>
      </w:tr>
    </w:tbl>
    <w:p w14:paraId="0E2535FE" w14:textId="77777777" w:rsidR="00B92FCA" w:rsidRDefault="00B92FCA" w:rsidP="00B92FCA">
      <w:pPr>
        <w:rPr>
          <w:b/>
          <w:bCs/>
          <w:sz w:val="24"/>
          <w:szCs w:val="24"/>
        </w:rPr>
      </w:pPr>
    </w:p>
    <w:p w14:paraId="59A99BF3" w14:textId="315467F7" w:rsidR="00B92FCA" w:rsidRPr="0069195C" w:rsidRDefault="00B92FCA" w:rsidP="00B92FCA">
      <w:pPr>
        <w:rPr>
          <w:b/>
          <w:bCs/>
          <w:sz w:val="24"/>
          <w:szCs w:val="24"/>
        </w:rPr>
      </w:pPr>
      <w:r w:rsidRPr="0069195C">
        <w:rPr>
          <w:b/>
          <w:bCs/>
          <w:sz w:val="24"/>
          <w:szCs w:val="24"/>
        </w:rPr>
        <w:t>COVID-19 Guidelines and Resources</w:t>
      </w:r>
    </w:p>
    <w:p w14:paraId="5AD0AB51" w14:textId="77777777" w:rsidR="00B92FCA" w:rsidRDefault="00B92FCA" w:rsidP="00B92FCA">
      <w:pPr>
        <w:rPr>
          <w:b/>
          <w:bCs/>
        </w:rPr>
      </w:pPr>
    </w:p>
    <w:p w14:paraId="12492DCD" w14:textId="77777777" w:rsidR="00B92FCA" w:rsidRPr="0069195C" w:rsidRDefault="00B92FCA" w:rsidP="00B92FCA">
      <w:pPr>
        <w:pStyle w:val="BodyText"/>
        <w:rPr>
          <w:sz w:val="24"/>
          <w:szCs w:val="24"/>
        </w:rPr>
      </w:pPr>
      <w:r w:rsidRPr="0069195C">
        <w:rPr>
          <w:sz w:val="24"/>
          <w:szCs w:val="24"/>
        </w:rPr>
        <w:t xml:space="preserve">The information contained in the link lists the University’s COVID-19 resources for students and instructors of record. </w:t>
      </w:r>
    </w:p>
    <w:p w14:paraId="1C6ED01D" w14:textId="77777777" w:rsidR="00B92FCA" w:rsidRPr="0069195C" w:rsidRDefault="00B92FCA" w:rsidP="00B92FCA">
      <w:pPr>
        <w:rPr>
          <w:b/>
          <w:bCs/>
          <w:sz w:val="24"/>
          <w:szCs w:val="24"/>
        </w:rPr>
      </w:pPr>
      <w:r w:rsidRPr="0069195C">
        <w:rPr>
          <w:sz w:val="24"/>
          <w:szCs w:val="24"/>
        </w:rPr>
        <w:t xml:space="preserve">Please see </w:t>
      </w:r>
      <w:hyperlink r:id="rId9" w:history="1">
        <w:r w:rsidRPr="0069195C">
          <w:rPr>
            <w:rStyle w:val="Hyperlink"/>
            <w:sz w:val="24"/>
            <w:szCs w:val="24"/>
          </w:rPr>
          <w:t>http://go.utdallas.edu/syllabus-policies</w:t>
        </w:r>
      </w:hyperlink>
    </w:p>
    <w:p w14:paraId="7D8F2F35"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6232BCAE" w14:textId="77777777" w:rsidR="00B92FCA" w:rsidRDefault="00B92FCA" w:rsidP="00B92FCA">
      <w:pPr>
        <w:rPr>
          <w:rFonts w:eastAsia="Arial" w:cs="Arial"/>
          <w:b/>
          <w:bCs/>
          <w:color w:val="000000" w:themeColor="text1"/>
          <w:sz w:val="24"/>
          <w:szCs w:val="24"/>
        </w:rPr>
      </w:pPr>
    </w:p>
    <w:p w14:paraId="4F7D3860" w14:textId="77777777" w:rsidR="00B92FCA" w:rsidRPr="007758E0" w:rsidRDefault="00B92FCA" w:rsidP="00B92FCA">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11E89A90" w14:textId="77777777" w:rsidR="00B92FCA" w:rsidRPr="007758E0" w:rsidRDefault="00B92FCA" w:rsidP="00B92FCA">
      <w:pPr>
        <w:rPr>
          <w:rFonts w:eastAsia="Arial" w:cs="Arial"/>
          <w:color w:val="000000" w:themeColor="text1"/>
          <w:sz w:val="24"/>
          <w:szCs w:val="24"/>
        </w:rPr>
      </w:pPr>
    </w:p>
    <w:p w14:paraId="2695955B" w14:textId="77777777" w:rsidR="00C7326D" w:rsidRPr="00BC4530" w:rsidRDefault="00C7326D" w:rsidP="00C7326D">
      <w:pPr>
        <w:pStyle w:val="BodyText"/>
        <w:rPr>
          <w:rStyle w:val="Hyperlink"/>
          <w:rFonts w:eastAsia="Arial" w:cs="Arial"/>
          <w:color w:val="000000" w:themeColor="text1"/>
          <w:sz w:val="24"/>
          <w:szCs w:val="24"/>
        </w:rPr>
      </w:pPr>
      <w:r w:rsidRPr="007051BE">
        <w:rPr>
          <w:rStyle w:val="Hyperlink"/>
          <w:rFonts w:eastAsia="Arial" w:cs="Arial"/>
          <w:color w:val="000000" w:themeColor="text1"/>
          <w:sz w:val="24"/>
          <w:szCs w:val="24"/>
          <w:u w:val="none"/>
        </w:rPr>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0" w:history="1">
        <w:r w:rsidRPr="00BC4530">
          <w:rPr>
            <w:rStyle w:val="Hyperlink"/>
            <w:rFonts w:eastAsia="Arial" w:cs="Arial"/>
            <w:sz w:val="24"/>
            <w:szCs w:val="24"/>
          </w:rPr>
          <w:t>Student Code of Conduct</w:t>
        </w:r>
      </w:hyperlink>
      <w:r w:rsidRPr="007051BE">
        <w:rPr>
          <w:rStyle w:val="Hyperlink"/>
          <w:rFonts w:eastAsia="Arial" w:cs="Arial"/>
          <w:color w:val="000000" w:themeColor="text1"/>
          <w:sz w:val="24"/>
          <w:szCs w:val="24"/>
          <w:u w:val="none"/>
        </w:rPr>
        <w:t xml:space="preserve"> violations. </w:t>
      </w:r>
      <w:r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Pr="00327359">
        <w:rPr>
          <w:rStyle w:val="Hyperlink"/>
          <w:rFonts w:eastAsia="Arial" w:cs="Arial"/>
          <w:color w:val="000000" w:themeColor="text1"/>
          <w:sz w:val="24"/>
          <w:szCs w:val="24"/>
          <w:u w:val="none"/>
        </w:rPr>
        <w:t xml:space="preserve"> </w:t>
      </w:r>
      <w:hyperlink r:id="rId11" w:history="1">
        <w:r w:rsidRPr="00BC4530">
          <w:rPr>
            <w:rStyle w:val="Hyperlink"/>
            <w:rFonts w:eastAsia="Calibri" w:cs="Arial"/>
            <w:sz w:val="24"/>
            <w:szCs w:val="24"/>
          </w:rPr>
          <w:t>Comets United</w:t>
        </w:r>
      </w:hyperlink>
      <w:r w:rsidRPr="00BC4530">
        <w:rPr>
          <w:rStyle w:val="Hyperlink"/>
          <w:rFonts w:eastAsia="Arial" w:cs="Arial"/>
          <w:color w:val="000000" w:themeColor="text1"/>
          <w:sz w:val="24"/>
          <w:szCs w:val="24"/>
          <w:u w:val="none"/>
        </w:rPr>
        <w:t xml:space="preserve"> webpage for further instructions. </w:t>
      </w:r>
    </w:p>
    <w:p w14:paraId="5CD1ADED" w14:textId="77777777" w:rsidR="00C7326D" w:rsidRDefault="00C7326D" w:rsidP="00B92FCA">
      <w:pPr>
        <w:rPr>
          <w:rStyle w:val="Hyperlink"/>
          <w:rFonts w:eastAsia="Arial" w:cs="Arial"/>
          <w:color w:val="000000" w:themeColor="text1"/>
          <w:sz w:val="24"/>
          <w:szCs w:val="24"/>
          <w:u w:val="none"/>
        </w:rPr>
      </w:pPr>
    </w:p>
    <w:p w14:paraId="3C39AF08" w14:textId="0CC0D5AB" w:rsidR="00B92FCA" w:rsidRPr="007758E0" w:rsidRDefault="00B92FCA" w:rsidP="00B92FCA">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327359">
        <w:rPr>
          <w:rStyle w:val="Hyperlink"/>
          <w:rFonts w:eastAsia="Arial" w:cs="Arial"/>
          <w:color w:val="000000" w:themeColor="text1"/>
          <w:sz w:val="24"/>
          <w:szCs w:val="24"/>
          <w:u w:val="none"/>
        </w:rPr>
        <w:t xml:space="preserve"> “</w:t>
      </w:r>
      <w:hyperlink r:id="rId12"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0BFC8AFE"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6CF7E1" w14:textId="77777777" w:rsidR="00B92FCA" w:rsidRPr="007758E0" w:rsidRDefault="00B92FCA" w:rsidP="00B92FCA">
      <w:pPr>
        <w:pStyle w:val="Heading2"/>
        <w:rPr>
          <w:rFonts w:cs="Arial"/>
          <w:b w:val="0"/>
          <w:bCs/>
          <w:sz w:val="24"/>
          <w:szCs w:val="24"/>
        </w:rPr>
      </w:pPr>
      <w:r w:rsidRPr="007758E0">
        <w:rPr>
          <w:rFonts w:cs="Arial"/>
          <w:bCs/>
          <w:sz w:val="24"/>
          <w:szCs w:val="24"/>
        </w:rPr>
        <w:t xml:space="preserve">Class Attendance </w:t>
      </w:r>
    </w:p>
    <w:p w14:paraId="596E6920" w14:textId="0D870EBA" w:rsidR="00B92FCA" w:rsidRPr="007758E0" w:rsidRDefault="00B92FCA" w:rsidP="00B92FCA">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7BC3CA29" w14:textId="77777777" w:rsidR="00B92FCA" w:rsidRPr="007758E0" w:rsidRDefault="00B92FCA" w:rsidP="00B92FCA">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3" w:history="1">
        <w:r w:rsidRPr="007758E0">
          <w:rPr>
            <w:rStyle w:val="Hyperlink"/>
            <w:rFonts w:eastAsia="Arial" w:cs="Arial"/>
            <w:sz w:val="24"/>
            <w:szCs w:val="24"/>
          </w:rPr>
          <w:t>Student Code of Conduct</w:t>
        </w:r>
      </w:hyperlink>
      <w:r w:rsidRPr="007758E0">
        <w:rPr>
          <w:rFonts w:eastAsia="Arial" w:cs="Arial"/>
          <w:sz w:val="24"/>
          <w:szCs w:val="24"/>
        </w:rPr>
        <w:t>.</w:t>
      </w:r>
    </w:p>
    <w:p w14:paraId="212F896C" w14:textId="77777777" w:rsidR="00B92FCA" w:rsidRPr="007758E0" w:rsidRDefault="00B92FCA" w:rsidP="00B92FCA">
      <w:pPr>
        <w:rPr>
          <w:rFonts w:cs="Arial"/>
          <w:sz w:val="24"/>
          <w:szCs w:val="24"/>
        </w:rPr>
      </w:pPr>
    </w:p>
    <w:p w14:paraId="37B7B7E5" w14:textId="77777777" w:rsidR="00B92FCA" w:rsidRPr="00235D98" w:rsidRDefault="00B92FCA" w:rsidP="00B92FCA">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1E16A6DB" w14:textId="77777777" w:rsidR="00B92FCA" w:rsidRPr="007758E0" w:rsidRDefault="00B92FCA" w:rsidP="00B92FCA">
      <w:pPr>
        <w:pStyle w:val="Heading2"/>
        <w:rPr>
          <w:rFonts w:cs="Arial"/>
          <w:b w:val="0"/>
          <w:bCs/>
          <w:sz w:val="24"/>
          <w:szCs w:val="24"/>
        </w:rPr>
      </w:pPr>
      <w:r w:rsidRPr="007758E0">
        <w:rPr>
          <w:rFonts w:cs="Arial"/>
          <w:bCs/>
          <w:sz w:val="24"/>
          <w:szCs w:val="24"/>
        </w:rPr>
        <w:lastRenderedPageBreak/>
        <w:t>Class Participation</w:t>
      </w:r>
    </w:p>
    <w:p w14:paraId="660BF127" w14:textId="77777777" w:rsidR="00B92FCA" w:rsidRDefault="00B92FCA" w:rsidP="00B92FCA">
      <w:pPr>
        <w:pStyle w:val="Heading2"/>
        <w:rPr>
          <w:rFonts w:eastAsia="Arial" w:cs="Arial"/>
          <w:b w:val="0"/>
          <w:bCs/>
          <w:sz w:val="24"/>
          <w:szCs w:val="24"/>
        </w:rPr>
      </w:pPr>
    </w:p>
    <w:p w14:paraId="732F5DF3" w14:textId="77777777" w:rsidR="00B92FCA" w:rsidRPr="007758E0" w:rsidRDefault="00B92FCA" w:rsidP="00B92FCA">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4"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7B342BFC"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1B88545E" w14:textId="77777777" w:rsidR="00B92FCA" w:rsidRPr="007758E0" w:rsidRDefault="00B92FCA" w:rsidP="00B92FCA">
      <w:pPr>
        <w:rPr>
          <w:rFonts w:cs="Arial"/>
          <w:b/>
          <w:bCs/>
          <w:sz w:val="24"/>
          <w:szCs w:val="24"/>
        </w:rPr>
      </w:pPr>
      <w:r w:rsidRPr="007758E0">
        <w:rPr>
          <w:rFonts w:cs="Arial"/>
          <w:b/>
          <w:bCs/>
          <w:sz w:val="24"/>
          <w:szCs w:val="24"/>
        </w:rPr>
        <w:t>Class Recordings</w:t>
      </w:r>
    </w:p>
    <w:p w14:paraId="58194A54" w14:textId="77777777" w:rsidR="00B92FCA" w:rsidRPr="007758E0" w:rsidRDefault="00B92FCA" w:rsidP="00B92FCA">
      <w:pPr>
        <w:rPr>
          <w:rFonts w:cs="Arial"/>
          <w:sz w:val="24"/>
          <w:szCs w:val="24"/>
        </w:rPr>
      </w:pPr>
    </w:p>
    <w:p w14:paraId="54116990" w14:textId="77777777" w:rsidR="002A687A" w:rsidRPr="002A687A" w:rsidRDefault="002A687A" w:rsidP="002A687A">
      <w:pPr>
        <w:rPr>
          <w:sz w:val="24"/>
          <w:szCs w:val="24"/>
        </w:rPr>
      </w:pPr>
      <w:r w:rsidRPr="002A687A">
        <w:rPr>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5" w:history="1">
        <w:r w:rsidRPr="002A687A">
          <w:rPr>
            <w:rStyle w:val="Hyperlink"/>
            <w:sz w:val="24"/>
            <w:szCs w:val="24"/>
          </w:rPr>
          <w:t>Student Code of Conduct</w:t>
        </w:r>
      </w:hyperlink>
      <w:r w:rsidRPr="002A687A">
        <w:rPr>
          <w:sz w:val="24"/>
          <w:szCs w:val="24"/>
        </w:rPr>
        <w:t>.</w:t>
      </w:r>
    </w:p>
    <w:p w14:paraId="3B0BADE7" w14:textId="77777777" w:rsidR="002A687A" w:rsidRPr="0023788D" w:rsidRDefault="002A687A" w:rsidP="002A687A"/>
    <w:p w14:paraId="7C8F4DD5" w14:textId="77777777" w:rsidR="002A687A" w:rsidRPr="0078379E" w:rsidRDefault="002A687A" w:rsidP="002A687A">
      <w:pPr>
        <w:rPr>
          <w:b/>
          <w:bCs/>
          <w:i/>
          <w:iCs/>
        </w:rPr>
      </w:pPr>
      <w:r>
        <w:rPr>
          <w:b/>
          <w:bCs/>
          <w:i/>
          <w:iCs/>
        </w:rPr>
        <w:t xml:space="preserve">NOTE: </w:t>
      </w:r>
      <w:r w:rsidRPr="0078379E">
        <w:rPr>
          <w:b/>
          <w:bCs/>
          <w:i/>
          <w:iCs/>
        </w:rPr>
        <w:t xml:space="preserve">if the instructor records any part of the course, then the instructor will need to use the following syllabus statement:   </w:t>
      </w:r>
    </w:p>
    <w:p w14:paraId="20A9CE41" w14:textId="77777777" w:rsidR="002A687A" w:rsidRPr="002A687A" w:rsidRDefault="002A687A" w:rsidP="002A687A">
      <w:pPr>
        <w:rPr>
          <w:sz w:val="24"/>
          <w:szCs w:val="24"/>
        </w:rPr>
      </w:pPr>
    </w:p>
    <w:p w14:paraId="2D5A606B" w14:textId="77777777" w:rsidR="002A687A" w:rsidRPr="002A687A" w:rsidRDefault="002A687A" w:rsidP="002A687A">
      <w:pPr>
        <w:pStyle w:val="BodyText"/>
        <w:rPr>
          <w:sz w:val="24"/>
          <w:szCs w:val="24"/>
        </w:rPr>
      </w:pPr>
      <w:r w:rsidRPr="002A687A">
        <w:rPr>
          <w:sz w:val="24"/>
          <w:szCs w:val="24"/>
        </w:rPr>
        <w:t xml:space="preserve">The instructor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6" w:history="1">
        <w:r w:rsidRPr="002A687A">
          <w:rPr>
            <w:rStyle w:val="Hyperlink"/>
            <w:sz w:val="24"/>
            <w:szCs w:val="24"/>
          </w:rPr>
          <w:t>Student Code of Conduct</w:t>
        </w:r>
      </w:hyperlink>
      <w:r w:rsidRPr="002A687A">
        <w:rPr>
          <w:sz w:val="24"/>
          <w:szCs w:val="24"/>
        </w:rPr>
        <w:t>.</w:t>
      </w:r>
    </w:p>
    <w:p w14:paraId="1B930A17"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F6D23E" w14:textId="77777777" w:rsidR="00B92FCA" w:rsidRPr="007758E0" w:rsidRDefault="00B92FCA" w:rsidP="00B92FCA">
      <w:pPr>
        <w:pStyle w:val="BodyText"/>
        <w:rPr>
          <w:rFonts w:cs="Arial"/>
          <w:b/>
          <w:bCs/>
          <w:sz w:val="24"/>
          <w:szCs w:val="24"/>
        </w:rPr>
      </w:pPr>
      <w:r w:rsidRPr="007758E0">
        <w:rPr>
          <w:rFonts w:cs="Arial"/>
          <w:b/>
          <w:bCs/>
          <w:sz w:val="24"/>
          <w:szCs w:val="24"/>
        </w:rPr>
        <w:t>Class Materials</w:t>
      </w:r>
    </w:p>
    <w:p w14:paraId="01EC9614" w14:textId="5BA87945" w:rsidR="00B92FCA" w:rsidRPr="007758E0" w:rsidRDefault="00B92FCA" w:rsidP="00B92FCA">
      <w:pPr>
        <w:pStyle w:val="BodyText"/>
        <w:rPr>
          <w:rFonts w:cs="Arial"/>
          <w:sz w:val="24"/>
          <w:szCs w:val="24"/>
        </w:rPr>
      </w:pPr>
      <w:r w:rsidRPr="007758E0">
        <w:rPr>
          <w:rFonts w:cs="Arial"/>
          <w:sz w:val="24"/>
          <w:szCs w:val="24"/>
        </w:rPr>
        <w:t xml:space="preserve">The </w:t>
      </w:r>
      <w:r w:rsidR="002A687A">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w:t>
      </w:r>
      <w:r w:rsidRPr="007758E0">
        <w:rPr>
          <w:rFonts w:cs="Arial"/>
          <w:sz w:val="24"/>
          <w:szCs w:val="24"/>
        </w:rPr>
        <w:lastRenderedPageBreak/>
        <w:t xml:space="preserve">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6C4632FD"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4CA0F37B" w14:textId="55A997C4" w:rsidR="00B92FCA" w:rsidRDefault="00B92FCA" w:rsidP="00280748"/>
    <w:p w14:paraId="66300B20" w14:textId="5C27AB0E" w:rsidR="00B92FCA" w:rsidRDefault="00B92FCA" w:rsidP="00280748"/>
    <w:p w14:paraId="78DA2F85" w14:textId="77777777" w:rsidR="00B92FCA" w:rsidRDefault="00B92FCA" w:rsidP="00280748"/>
    <w:p w14:paraId="6DAFEB8E" w14:textId="4EA1F12D" w:rsidR="00280748" w:rsidRDefault="00280748" w:rsidP="00A1524E">
      <w:pPr>
        <w:pStyle w:val="Heading2"/>
      </w:pPr>
      <w:r w:rsidRPr="00A1524E">
        <w:t>General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tc>
          <w:tcPr>
            <w:tcW w:w="6579" w:type="dxa"/>
            <w:vAlign w:val="center"/>
          </w:tcPr>
          <w:p w14:paraId="5E0A3045" w14:textId="154CF2BE" w:rsidR="00280748" w:rsidRPr="00540F59" w:rsidRDefault="007D4041" w:rsidP="00E80CBC">
            <w:r>
              <w:t xml:space="preserve">CS 6363: Design and Analysis of Computer Algorithms or the equivalent is highly </w:t>
            </w:r>
            <w:proofErr w:type="gramStart"/>
            <w:r>
              <w:t>recommend</w:t>
            </w:r>
            <w:proofErr w:type="gramEnd"/>
            <w:r>
              <w:t>. No prior topology knowledge is assumed.</w:t>
            </w:r>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tc>
          <w:tcPr>
            <w:tcW w:w="6579" w:type="dxa"/>
            <w:vAlign w:val="center"/>
          </w:tcPr>
          <w:p w14:paraId="1813164D" w14:textId="77777777" w:rsidR="00DB2AC3" w:rsidRDefault="00DB2AC3" w:rsidP="00E80CBC"/>
          <w:p w14:paraId="3E443A24" w14:textId="1D566FFE" w:rsidR="00280748" w:rsidRPr="00540F59" w:rsidRDefault="007D4041" w:rsidP="00E80CBC">
            <w:r>
              <w:t>Course will cover various topics in computational topology such as embeddings of graphs; fast algorithms for standard problems that take advantage of these embeddings; and simplicial complexes, simplicial homology, and persistent homology for topological shape inference. Other topics to be determined by the interests or experiences of the instructor and students.</w:t>
            </w:r>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tc>
          <w:tcPr>
            <w:tcW w:w="6579" w:type="dxa"/>
            <w:vAlign w:val="center"/>
          </w:tcPr>
          <w:p w14:paraId="22AF4187" w14:textId="77777777" w:rsidR="007D4041" w:rsidRDefault="007D4041" w:rsidP="00E80CBC"/>
          <w:p w14:paraId="3517E9E4" w14:textId="3871AE49" w:rsidR="007D4041" w:rsidRDefault="007D4041" w:rsidP="00E80CBC">
            <w:r>
              <w:t>Students will be able to understand or design algorithms for topics in computational topology.</w:t>
            </w:r>
          </w:p>
          <w:p w14:paraId="7C3802FA" w14:textId="0BD73692" w:rsidR="007D4041" w:rsidRDefault="007D4041" w:rsidP="00E80CBC"/>
          <w:p w14:paraId="5A553B5B" w14:textId="4AC72F42" w:rsidR="007D4041" w:rsidRDefault="007D4041" w:rsidP="00E80CBC">
            <w:r>
              <w:t>Students will use their knowledge of computational topology in a self-guided project such as performing research, writing a survey, or performing experimental evaluations of algorithms relevant to computational topology.</w:t>
            </w:r>
          </w:p>
          <w:p w14:paraId="5697C2E4" w14:textId="5E210DB6" w:rsidR="007D4041" w:rsidRPr="00540F59" w:rsidRDefault="007D4041" w:rsidP="00E80CBC"/>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6A7ABF5E" w:rsidR="00280748" w:rsidRPr="00540F59" w:rsidRDefault="007D4041" w:rsidP="00E80CBC">
            <w:r>
              <w:t>N/A</w:t>
            </w:r>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1BC0DE06" w:rsidR="00280748" w:rsidRPr="00540F59" w:rsidRDefault="007D4041" w:rsidP="00E80CBC">
            <w:r>
              <w:t>Links to papers or relevant lecture notes will be provided on the course website as they become relevant.</w:t>
            </w:r>
          </w:p>
        </w:tc>
      </w:tr>
    </w:tbl>
    <w:p w14:paraId="307C2CC8" w14:textId="77777777" w:rsidR="00F74D77" w:rsidRDefault="00F74D77" w:rsidP="00A1524E">
      <w:pPr>
        <w:pStyle w:val="Heading2"/>
      </w:pPr>
    </w:p>
    <w:p w14:paraId="5C4DD102" w14:textId="77777777" w:rsidR="009A2A1B" w:rsidRDefault="009A2A1B" w:rsidP="009A2A1B">
      <w:pPr>
        <w:pStyle w:val="Heading2"/>
      </w:pPr>
      <w:r>
        <w:t>Assignments &amp; Academic Calendar</w:t>
      </w:r>
    </w:p>
    <w:p w14:paraId="3058251A" w14:textId="41DAD45F" w:rsidR="009A2A1B" w:rsidRPr="007D4041" w:rsidRDefault="007D4041" w:rsidP="009A2A1B">
      <w:pPr>
        <w:pStyle w:val="CommentText"/>
        <w:rPr>
          <w:rFonts w:cs="Arial"/>
        </w:rPr>
      </w:pPr>
      <w:r>
        <w:rPr>
          <w:rFonts w:cs="Arial"/>
        </w:rPr>
        <w:t>Topics and deadlines will be added to course website as the semester progresses.</w:t>
      </w:r>
    </w:p>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lastRenderedPageBreak/>
              <w:t>Grading (credit) Criteria</w:t>
            </w:r>
          </w:p>
        </w:tc>
        <w:tc>
          <w:tcPr>
            <w:tcW w:w="6897" w:type="dxa"/>
            <w:vAlign w:val="center"/>
          </w:tcPr>
          <w:p w14:paraId="3BEBE127" w14:textId="77777777" w:rsidR="00280748" w:rsidRDefault="006B7529" w:rsidP="00CE71DD">
            <w:pPr>
              <w:pStyle w:val="BodyText"/>
            </w:pPr>
            <w:r>
              <w:t xml:space="preserve">Three or four homework sets will be assigned during the semester. Students will also participate in some sort of project involving a short survey, implementation, or research. Students will propose their project midway through the semester via a </w:t>
            </w:r>
            <w:proofErr w:type="gramStart"/>
            <w:r>
              <w:t>two page</w:t>
            </w:r>
            <w:proofErr w:type="gramEnd"/>
            <w:r>
              <w:t xml:space="preserve"> paper. Results of the project will be described as a presentation at the end of the semester and further described in a longer paper.</w:t>
            </w:r>
          </w:p>
          <w:p w14:paraId="5CC681C7" w14:textId="6BAC4517" w:rsidR="00275A61" w:rsidRDefault="006B7529" w:rsidP="00CE71DD">
            <w:pPr>
              <w:pStyle w:val="BodyText"/>
            </w:pPr>
            <w:r>
              <w:t>Each homework assignment will be given equal weight. Grades are determined with a weighted sum of homework worth 40%, the project proposal worth 10%, and the final project presentation and report worth a total of 50%</w:t>
            </w:r>
            <w:r w:rsidR="00DB2AC3">
              <w:t>.</w:t>
            </w:r>
          </w:p>
          <w:p w14:paraId="03C8D6B5" w14:textId="02BDAD8D" w:rsidR="00DB2AC3" w:rsidRDefault="00DB2AC3" w:rsidP="00CE71DD">
            <w:pPr>
              <w:pStyle w:val="BodyText"/>
            </w:pPr>
            <w:r>
              <w:t>Pairs of students may work together and turn in homework as a single submission. Individual submissions are fine as well. Homework should be turned in via eLearning. eLearning is not well designed for group submission, so each group should have exactly one of its members turn in the assignment. The grade for one submission will be given to all group members.</w:t>
            </w:r>
          </w:p>
          <w:p w14:paraId="21B70F51" w14:textId="360B4F49" w:rsidR="00DB2AC3" w:rsidRDefault="00DB2AC3" w:rsidP="00CE71DD">
            <w:pPr>
              <w:pStyle w:val="BodyText"/>
            </w:pPr>
            <w:r>
              <w:t xml:space="preserve">Project proposals should be done individually, but pairs of students may work together on projects themselves. Three students working on a common project may be </w:t>
            </w:r>
            <w:proofErr w:type="gramStart"/>
            <w:r>
              <w:t>permitted, but</w:t>
            </w:r>
            <w:proofErr w:type="gramEnd"/>
            <w:r>
              <w:t xml:space="preserve"> discuss with Kyle first. Each group will do a single presentation and turn in a single final report.</w:t>
            </w:r>
          </w:p>
          <w:p w14:paraId="6AED86A6" w14:textId="6F61CC8F" w:rsidR="00DB2AC3" w:rsidRDefault="00DB2AC3" w:rsidP="00CE71DD">
            <w:pPr>
              <w:pStyle w:val="BodyText"/>
            </w:pPr>
            <w:r w:rsidRPr="00DB2AC3">
              <w:t xml:space="preserve">It is expected that students be able to solve homework problems using only course material and the work within their homework group. If </w:t>
            </w:r>
            <w:proofErr w:type="gramStart"/>
            <w:r w:rsidRPr="00DB2AC3">
              <w:t>necessary</w:t>
            </w:r>
            <w:proofErr w:type="gramEnd"/>
            <w:r w:rsidRPr="00DB2AC3">
              <w:t xml:space="preserve"> though, students are permitted to use any outside source or person as long as they </w:t>
            </w:r>
            <w:r w:rsidRPr="00DB2AC3">
              <w:rPr>
                <w:b/>
                <w:bCs/>
              </w:rPr>
              <w:t xml:space="preserve">cite the source </w:t>
            </w:r>
            <w:r w:rsidRPr="00DB2AC3">
              <w:t xml:space="preserve">and </w:t>
            </w:r>
            <w:r w:rsidRPr="00DB2AC3">
              <w:rPr>
                <w:b/>
                <w:bCs/>
              </w:rPr>
              <w:t>rewrite the solution in their own words</w:t>
            </w:r>
            <w:r w:rsidRPr="00DB2AC3">
              <w:t xml:space="preserve">. They may also work with students outside their group, but again, they must </w:t>
            </w:r>
            <w:r w:rsidRPr="00DB2AC3">
              <w:rPr>
                <w:b/>
                <w:bCs/>
              </w:rPr>
              <w:t xml:space="preserve">cite all collaboration with other students in the class outside their group. </w:t>
            </w:r>
            <w:r w:rsidRPr="00DB2AC3">
              <w:t>Properly cited and rewritten outside material is still worth full credit. Material not cited or not rewritten in students’ own words will be considered an act of academic dishonesty and suspected incidents will be reported to the Office of Community Standards and Conduct. Students do not need to cite anything from this course or prerequisite courses, but when in doubt, they should cite anyway just to be safe.</w:t>
            </w:r>
          </w:p>
          <w:p w14:paraId="38F224E6" w14:textId="77442809" w:rsidR="006B7529" w:rsidRDefault="00275A61" w:rsidP="00CE71DD">
            <w:pPr>
              <w:pStyle w:val="BodyText"/>
            </w:pPr>
            <w:r>
              <w:t xml:space="preserve">Final grades are determined by each student’s performance relative to the class average. However, this course is a 7xxx level special topics course, so </w:t>
            </w:r>
            <w:r w:rsidR="00DB2AC3">
              <w:t>grading</w:t>
            </w:r>
            <w:r>
              <w:t xml:space="preserve"> will be fairly lenient. Please email Kyle if you are concerned about your grade.</w:t>
            </w:r>
          </w:p>
          <w:p w14:paraId="20CBB266" w14:textId="281A1FCC" w:rsidR="00BA6FAF" w:rsidRPr="00CE71DD" w:rsidRDefault="00BA6FAF" w:rsidP="00CE71DD">
            <w:pPr>
              <w:pStyle w:val="BodyText"/>
            </w:pPr>
            <w:r>
              <w:t>Requests for a regrade must be made within one week of the homework assignment being returned. The problem in question will be completely regraded, so the score may actually go down.</w:t>
            </w:r>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30D6BF5F" w:rsidR="00280748" w:rsidRPr="00CE71DD" w:rsidRDefault="006B7529" w:rsidP="00CE71DD">
            <w:pPr>
              <w:pStyle w:val="BodyText"/>
            </w:pPr>
            <w:r>
              <w:t>N/A</w:t>
            </w:r>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2F4CB40F" w:rsidR="00280748" w:rsidRPr="00CE71DD" w:rsidRDefault="00BA6FAF" w:rsidP="00CE71DD">
            <w:pPr>
              <w:pStyle w:val="BodyText"/>
            </w:pPr>
            <w:r>
              <w:t>There are no plans to offer extra credit during this course.</w:t>
            </w:r>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0FDA147" w:rsidR="00280748" w:rsidRPr="006B7529" w:rsidRDefault="006B7529" w:rsidP="00CE71DD">
            <w:pPr>
              <w:pStyle w:val="BodyText"/>
              <w:rPr>
                <w:b/>
                <w:bCs/>
              </w:rPr>
            </w:pPr>
            <w:r>
              <w:t xml:space="preserve">Students </w:t>
            </w:r>
            <w:r>
              <w:rPr>
                <w:b/>
                <w:bCs/>
                <w:i/>
                <w:iCs/>
              </w:rPr>
              <w:t>must request</w:t>
            </w:r>
            <w:r>
              <w:t xml:space="preserve"> extensions via email for any late work they plan to submit. Extensions of up to 48 hours for all homework assignments, the project proposal, and the final project will be automatically approved, but the student must still make an explicit request. Longer extensions may be approved at the instructor’s discretion based on the circumstances involved.</w:t>
            </w:r>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388EAB3C" w:rsidR="00280748" w:rsidRPr="00CE71DD" w:rsidRDefault="00A00925" w:rsidP="00CE71DD">
            <w:pPr>
              <w:pStyle w:val="BodyText"/>
            </w:pPr>
            <w:r w:rsidRPr="00A00925">
              <w:t>If possible, students should attend live lectures so they can ask questions or comment as material is being delivered. No explanation is required or expected if students miss some or even all of the live lectures.</w:t>
            </w:r>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lastRenderedPageBreak/>
              <w:t>Classroom Citizenship</w:t>
            </w:r>
          </w:p>
        </w:tc>
        <w:tc>
          <w:tcPr>
            <w:tcW w:w="6897" w:type="dxa"/>
            <w:vAlign w:val="center"/>
          </w:tcPr>
          <w:p w14:paraId="7CA67BF5" w14:textId="13046F4F" w:rsidR="00280748" w:rsidRPr="00CE71DD" w:rsidRDefault="00A00925" w:rsidP="00CE71DD">
            <w:pPr>
              <w:pStyle w:val="BodyText"/>
            </w:pPr>
            <w:r>
              <w:t>Please mute your mic during lecture unless you are asking a question or commenting.</w:t>
            </w:r>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025646" w:rsidRPr="00F5627D" w14:paraId="2613ACDA"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73480A2" w14:textId="55D2D404" w:rsidR="00025646" w:rsidRPr="00CE71DD" w:rsidRDefault="00025646" w:rsidP="00025646">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141C860E" w14:textId="77777777" w:rsidR="00025646" w:rsidRPr="00CE71DD" w:rsidRDefault="00025646" w:rsidP="00025646">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254F9071" w14:textId="77777777" w:rsidR="00025646" w:rsidRPr="004408ED" w:rsidRDefault="00025646" w:rsidP="00025646">
            <w:pPr>
              <w:pStyle w:val="BodyText"/>
            </w:pPr>
            <w:r w:rsidRPr="00CE71DD">
              <w:rPr>
                <w:i/>
                <w:iCs/>
              </w:rPr>
              <w:t xml:space="preserve">Please go to </w:t>
            </w:r>
            <w:hyperlink r:id="rId18" w:history="1">
              <w:r w:rsidRPr="00BC0330">
                <w:rPr>
                  <w:rStyle w:val="Hyperlink"/>
                  <w:i/>
                  <w:iCs/>
                </w:rPr>
                <w:t>http://go.utdallas.edu/academic-support-resources</w:t>
              </w:r>
            </w:hyperlink>
            <w:r w:rsidRPr="00BC0330">
              <w:rPr>
                <w:i/>
                <w:iCs/>
              </w:rPr>
              <w:t>.</w:t>
            </w:r>
          </w:p>
          <w:p w14:paraId="4437A722" w14:textId="77777777" w:rsidR="00025646" w:rsidRPr="00CE71DD" w:rsidRDefault="00025646" w:rsidP="00025646">
            <w:pPr>
              <w:pStyle w:val="BodyText"/>
              <w:rPr>
                <w:i/>
                <w:iCs/>
              </w:rPr>
            </w:pPr>
          </w:p>
        </w:tc>
      </w:tr>
      <w:tr w:rsidR="00025646"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025646" w:rsidRPr="00CE71DD" w:rsidRDefault="00025646" w:rsidP="00025646">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025646" w:rsidRPr="00CE71DD" w:rsidRDefault="00025646" w:rsidP="00025646">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025646" w:rsidRPr="00CE71DD" w:rsidRDefault="00025646" w:rsidP="00025646">
            <w:pPr>
              <w:pStyle w:val="BodyText"/>
              <w:rPr>
                <w:i/>
                <w:iCs/>
              </w:rPr>
            </w:pPr>
            <w:r w:rsidRPr="00CE71DD">
              <w:rPr>
                <w:i/>
                <w:iCs/>
              </w:rPr>
              <w:t xml:space="preserve">Please go to </w:t>
            </w:r>
            <w:hyperlink r:id="rId19" w:history="1">
              <w:r w:rsidRPr="00CE71DD">
                <w:rPr>
                  <w:rStyle w:val="Hyperlink"/>
                  <w:i/>
                  <w:iCs/>
                </w:rPr>
                <w:t>http://go.utdallas.edu/syllabus-policies</w:t>
              </w:r>
            </w:hyperlink>
            <w:r w:rsidRPr="00CE71DD">
              <w:rPr>
                <w:i/>
                <w:iCs/>
              </w:rPr>
              <w:t xml:space="preserve"> for these policies.</w:t>
            </w:r>
          </w:p>
          <w:p w14:paraId="2281FB64" w14:textId="77777777" w:rsidR="00025646" w:rsidRPr="00CE71DD" w:rsidRDefault="00025646" w:rsidP="00025646">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D153" w14:textId="77777777" w:rsidR="00903AD6" w:rsidRDefault="00903AD6" w:rsidP="002974C7">
      <w:r>
        <w:separator/>
      </w:r>
    </w:p>
  </w:endnote>
  <w:endnote w:type="continuationSeparator" w:id="0">
    <w:p w14:paraId="1FF7B7FC" w14:textId="77777777" w:rsidR="00903AD6" w:rsidRDefault="00903AD6"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FE306" w14:textId="77777777" w:rsidR="00903AD6" w:rsidRDefault="00903AD6" w:rsidP="002974C7">
      <w:r>
        <w:separator/>
      </w:r>
    </w:p>
  </w:footnote>
  <w:footnote w:type="continuationSeparator" w:id="0">
    <w:p w14:paraId="0F9AC4A9" w14:textId="77777777" w:rsidR="00903AD6" w:rsidRDefault="00903AD6"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5F67" w14:textId="3D249225" w:rsidR="002974C7" w:rsidRPr="00E80CBC" w:rsidRDefault="009A2A1B" w:rsidP="00E80C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99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45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92B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8D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66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C9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D2B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2A9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24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A3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5646"/>
    <w:rsid w:val="00121140"/>
    <w:rsid w:val="00156641"/>
    <w:rsid w:val="00275A61"/>
    <w:rsid w:val="00280748"/>
    <w:rsid w:val="002974C7"/>
    <w:rsid w:val="002A687A"/>
    <w:rsid w:val="00327359"/>
    <w:rsid w:val="003672F4"/>
    <w:rsid w:val="003E6808"/>
    <w:rsid w:val="0046128F"/>
    <w:rsid w:val="00540F59"/>
    <w:rsid w:val="006017A4"/>
    <w:rsid w:val="00667B2E"/>
    <w:rsid w:val="006B7529"/>
    <w:rsid w:val="007B2A51"/>
    <w:rsid w:val="007D4041"/>
    <w:rsid w:val="008832FA"/>
    <w:rsid w:val="00903AD6"/>
    <w:rsid w:val="00930296"/>
    <w:rsid w:val="0099223B"/>
    <w:rsid w:val="009A2A1B"/>
    <w:rsid w:val="00A00925"/>
    <w:rsid w:val="00A1524E"/>
    <w:rsid w:val="00A17795"/>
    <w:rsid w:val="00A26050"/>
    <w:rsid w:val="00AA2AEA"/>
    <w:rsid w:val="00AC1D90"/>
    <w:rsid w:val="00AE7681"/>
    <w:rsid w:val="00B92FCA"/>
    <w:rsid w:val="00BA6FAF"/>
    <w:rsid w:val="00BB3B11"/>
    <w:rsid w:val="00C42111"/>
    <w:rsid w:val="00C45EA1"/>
    <w:rsid w:val="00C7326D"/>
    <w:rsid w:val="00C974DE"/>
    <w:rsid w:val="00CC5865"/>
    <w:rsid w:val="00CE71DD"/>
    <w:rsid w:val="00D11758"/>
    <w:rsid w:val="00D45973"/>
    <w:rsid w:val="00D543E5"/>
    <w:rsid w:val="00D8779E"/>
    <w:rsid w:val="00DB2AC3"/>
    <w:rsid w:val="00E80CBC"/>
    <w:rsid w:val="00F7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9A2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styleId="FollowedHyperlink">
    <w:name w:val="FollowedHyperlink"/>
    <w:basedOn w:val="DefaultParagraphFont"/>
    <w:rsid w:val="00025646"/>
    <w:rPr>
      <w:color w:val="954F72" w:themeColor="followedHyperlink"/>
      <w:u w:val="single"/>
    </w:rPr>
  </w:style>
  <w:style w:type="character" w:customStyle="1" w:styleId="Heading1Char">
    <w:name w:val="Heading 1 Char"/>
    <w:basedOn w:val="DefaultParagraphFont"/>
    <w:link w:val="Heading1"/>
    <w:rsid w:val="009A2A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29030">
      <w:bodyDiv w:val="1"/>
      <w:marLeft w:val="0"/>
      <w:marRight w:val="0"/>
      <w:marTop w:val="0"/>
      <w:marBottom w:val="0"/>
      <w:divBdr>
        <w:top w:val="none" w:sz="0" w:space="0" w:color="auto"/>
        <w:left w:val="none" w:sz="0" w:space="0" w:color="auto"/>
        <w:bottom w:val="none" w:sz="0" w:space="0" w:color="auto"/>
        <w:right w:val="none" w:sz="0" w:space="0" w:color="auto"/>
      </w:divBdr>
      <w:divsChild>
        <w:div w:id="760416656">
          <w:marLeft w:val="0"/>
          <w:marRight w:val="0"/>
          <w:marTop w:val="0"/>
          <w:marBottom w:val="0"/>
          <w:divBdr>
            <w:top w:val="none" w:sz="0" w:space="0" w:color="auto"/>
            <w:left w:val="none" w:sz="0" w:space="0" w:color="auto"/>
            <w:bottom w:val="none" w:sz="0" w:space="0" w:color="auto"/>
            <w:right w:val="none" w:sz="0" w:space="0" w:color="auto"/>
          </w:divBdr>
          <w:divsChild>
            <w:div w:id="1065225044">
              <w:marLeft w:val="0"/>
              <w:marRight w:val="0"/>
              <w:marTop w:val="0"/>
              <w:marBottom w:val="0"/>
              <w:divBdr>
                <w:top w:val="none" w:sz="0" w:space="0" w:color="auto"/>
                <w:left w:val="none" w:sz="0" w:space="0" w:color="auto"/>
                <w:bottom w:val="none" w:sz="0" w:space="0" w:color="auto"/>
                <w:right w:val="none" w:sz="0" w:space="0" w:color="auto"/>
              </w:divBdr>
              <w:divsChild>
                <w:div w:id="1810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asynchronous-access-for-fall-2020/" TargetMode="External"/><Relationship Id="rId13" Type="http://schemas.openxmlformats.org/officeDocument/2006/relationships/hyperlink" Target="https://policy.utdallas.edu/utdsp5003" TargetMode="External"/><Relationship Id="rId18" Type="http://schemas.openxmlformats.org/officeDocument/2006/relationships/hyperlink" Target="http://go.utdallas.edu/academic-support-resour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utdallas.edu/coronavirus/faq/"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dallas.edu/fall-2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ntTable" Target="fontTable.xml"/><Relationship Id="rId10" Type="http://schemas.openxmlformats.org/officeDocument/2006/relationships/hyperlink" Target="https://policy.utdallas.edu/utdsp5003" TargetMode="External"/><Relationship Id="rId19" Type="http://schemas.openxmlformats.org/officeDocument/2006/relationships/hyperlink" Target="http://go.utdallas.edu/syllabus-policies" TargetMode="External"/><Relationship Id="rId4" Type="http://schemas.openxmlformats.org/officeDocument/2006/relationships/webSettings" Target="webSettings.xml"/><Relationship Id="rId9" Type="http://schemas.openxmlformats.org/officeDocument/2006/relationships/hyperlink" Target="http://go.utdallas.edu/syllabus-policies" TargetMode="External"/><Relationship Id="rId14" Type="http://schemas.openxmlformats.org/officeDocument/2006/relationships/hyperlink" Target="https://policy.utdallas.edu/utdsp5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13918</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Kyle Fox</cp:lastModifiedBy>
  <cp:revision>13</cp:revision>
  <dcterms:created xsi:type="dcterms:W3CDTF">2019-11-12T19:14:00Z</dcterms:created>
  <dcterms:modified xsi:type="dcterms:W3CDTF">2020-08-10T16:27:00Z</dcterms:modified>
  <cp:category/>
</cp:coreProperties>
</file>