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A7F33DB" w14:textId="7A4BCE01" w:rsidR="0077142C" w:rsidRDefault="008E3FB6" w:rsidP="0077142C">
      <w:pPr>
        <w:autoSpaceDE w:val="0"/>
        <w:autoSpaceDN w:val="0"/>
        <w:adjustRightInd w:val="0"/>
        <w:jc w:val="center"/>
        <w:rPr>
          <w:rFonts w:ascii="Times New Roman" w:hAnsi="Times New Roman" w:cs="Times New Roman"/>
          <w:color w:val="000000"/>
        </w:rPr>
      </w:pPr>
      <w:r>
        <w:rPr>
          <w:rFonts w:ascii="Times New Roman" w:hAnsi="Times New Roman" w:cs="Times New Roman"/>
          <w:color w:val="000000"/>
        </w:rPr>
        <w:t>The Design of</w:t>
      </w:r>
      <w:r w:rsidR="0077142C">
        <w:rPr>
          <w:rFonts w:ascii="Times New Roman" w:hAnsi="Times New Roman" w:cs="Times New Roman"/>
          <w:color w:val="000000"/>
        </w:rPr>
        <w:t xml:space="preserve"> Protein-Based Chloride </w:t>
      </w:r>
      <w:r>
        <w:rPr>
          <w:rFonts w:ascii="Times New Roman" w:hAnsi="Times New Roman" w:cs="Times New Roman"/>
          <w:color w:val="000000"/>
        </w:rPr>
        <w:t>Reporters</w:t>
      </w:r>
    </w:p>
    <w:p w14:paraId="7CF54ECB" w14:textId="77777777" w:rsidR="0077142C" w:rsidRDefault="0077142C" w:rsidP="0077142C">
      <w:pPr>
        <w:autoSpaceDE w:val="0"/>
        <w:autoSpaceDN w:val="0"/>
        <w:adjustRightInd w:val="0"/>
        <w:rPr>
          <w:rFonts w:ascii="Times New Roman" w:hAnsi="Times New Roman" w:cs="Times New Roman"/>
          <w:color w:val="000000"/>
          <w:sz w:val="22"/>
          <w:szCs w:val="22"/>
        </w:rPr>
      </w:pPr>
    </w:p>
    <w:p w14:paraId="69DCBF40" w14:textId="77777777" w:rsidR="0077142C" w:rsidRDefault="0077142C" w:rsidP="0077142C">
      <w:pPr>
        <w:autoSpaceDE w:val="0"/>
        <w:autoSpaceDN w:val="0"/>
        <w:adjustRightInd w:val="0"/>
        <w:rPr>
          <w:rFonts w:ascii="Times New Roman" w:hAnsi="Times New Roman" w:cs="Times New Roman"/>
          <w:b/>
          <w:bCs/>
          <w:color w:val="000000"/>
          <w:sz w:val="22"/>
          <w:szCs w:val="22"/>
        </w:rPr>
      </w:pPr>
      <w:r>
        <w:rPr>
          <w:rFonts w:ascii="Times New Roman" w:hAnsi="Times New Roman" w:cs="Times New Roman"/>
          <w:b/>
          <w:bCs/>
          <w:color w:val="000000"/>
          <w:sz w:val="22"/>
          <w:szCs w:val="22"/>
        </w:rPr>
        <w:t>Background</w:t>
      </w:r>
    </w:p>
    <w:p w14:paraId="54A1DDAE" w14:textId="77777777" w:rsidR="0077142C" w:rsidRDefault="0077142C" w:rsidP="0077142C">
      <w:pPr>
        <w:autoSpaceDE w:val="0"/>
        <w:autoSpaceDN w:val="0"/>
        <w:adjustRightInd w:val="0"/>
        <w:rPr>
          <w:rFonts w:ascii="Times New Roman" w:hAnsi="Times New Roman" w:cs="Times New Roman"/>
          <w:color w:val="000000"/>
          <w:sz w:val="22"/>
          <w:szCs w:val="22"/>
        </w:rPr>
      </w:pPr>
    </w:p>
    <w:p w14:paraId="60C23779" w14:textId="0CD55F7C" w:rsidR="0077142C"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t>Chloride is the most abundant anion in human bodies yet its specific functions and distributions in different organs, tissues, and cellular compartments are remain unclear to scientists. Two possible reasons of this phenomenon are the difficulties of identify chloride ion in aqueous environment and the lack of tools that are suitable for all conditions they are in. Throughout the years, many chloride sensing tools, such as small molecule dyes and fluorescent proteins, had been developed in molecular recognition field to unveil chloride concentrations cross different organisms and its functions in health and dysfunctional cell lines (Figure 1A). With the applications of these tools, many chloride functions had been discovered, for example, Cl</w:t>
      </w:r>
      <w:r>
        <w:rPr>
          <w:rFonts w:ascii="Lucida Grande" w:hAnsi="Lucida Grande" w:cs="Lucida Grande"/>
          <w:color w:val="000000"/>
          <w:sz w:val="14"/>
          <w:szCs w:val="14"/>
          <w:vertAlign w:val="superscript"/>
        </w:rPr>
        <w:t>⁻</w:t>
      </w:r>
      <w:r>
        <w:rPr>
          <w:rFonts w:ascii="Times New Roman" w:hAnsi="Times New Roman" w:cs="Times New Roman"/>
          <w:color w:val="000000"/>
          <w:sz w:val="22"/>
          <w:szCs w:val="22"/>
        </w:rPr>
        <w:t xml:space="preserve"> concentrations are kept at a low level in mature neurons of the central nervous system because ionic equilibrium has to be maintained in a dynamic way to allow neuronal signaling to happen, and any disruption in this processes, which normally occurred due to the imbalance Cl</w:t>
      </w:r>
      <w:r>
        <w:rPr>
          <w:rFonts w:ascii="Lucida Grande" w:hAnsi="Lucida Grande" w:cs="Lucida Grande"/>
          <w:color w:val="000000"/>
          <w:sz w:val="14"/>
          <w:szCs w:val="14"/>
          <w:vertAlign w:val="superscript"/>
        </w:rPr>
        <w:t>⁻</w:t>
      </w:r>
      <w:r>
        <w:rPr>
          <w:rFonts w:ascii="Times New Roman" w:hAnsi="Times New Roman" w:cs="Times New Roman"/>
          <w:color w:val="000000"/>
          <w:sz w:val="22"/>
          <w:szCs w:val="22"/>
        </w:rPr>
        <w:t xml:space="preserve"> co-transporters, are often times observed in many neurological disorders, such as such as autism spectrum disorders, neuropathic pain, and Down’s syndrome (1). However, the drawbacks of these tools often </w:t>
      </w:r>
      <w:proofErr w:type="gramStart"/>
      <w:r>
        <w:rPr>
          <w:rFonts w:ascii="Times New Roman" w:hAnsi="Times New Roman" w:cs="Times New Roman"/>
          <w:color w:val="000000"/>
          <w:sz w:val="22"/>
          <w:szCs w:val="22"/>
        </w:rPr>
        <w:t>comprises</w:t>
      </w:r>
      <w:proofErr w:type="gramEnd"/>
      <w:r>
        <w:rPr>
          <w:rFonts w:ascii="Times New Roman" w:hAnsi="Times New Roman" w:cs="Times New Roman"/>
          <w:color w:val="000000"/>
          <w:sz w:val="22"/>
          <w:szCs w:val="22"/>
        </w:rPr>
        <w:t xml:space="preserve"> their applications, such as the lack of the ability to quantify any small changes in Cl</w:t>
      </w:r>
      <w:r>
        <w:rPr>
          <w:rFonts w:ascii="Lucida Grande" w:hAnsi="Lucida Grande" w:cs="Lucida Grande"/>
          <w:color w:val="000000"/>
          <w:sz w:val="14"/>
          <w:szCs w:val="14"/>
          <w:vertAlign w:val="superscript"/>
        </w:rPr>
        <w:t>⁻</w:t>
      </w:r>
      <w:r>
        <w:rPr>
          <w:rFonts w:ascii="Times New Roman" w:hAnsi="Times New Roman" w:cs="Times New Roman"/>
          <w:color w:val="000000"/>
          <w:sz w:val="22"/>
          <w:szCs w:val="22"/>
        </w:rPr>
        <w:t xml:space="preserve"> concentrations, prone to be photobleached, and hard to deliver and retain inside the cellular compartments (1). Thus, we believe it is still very necessary to design a new chloride sensor with proper spectroscopic properties and is suitable for different physiological conditions.  </w:t>
      </w:r>
    </w:p>
    <w:p w14:paraId="15D6FFF1" w14:textId="7D9B3B26" w:rsidR="0077142C" w:rsidRDefault="008E3FB6" w:rsidP="0077142C">
      <w:pPr>
        <w:autoSpaceDE w:val="0"/>
        <w:autoSpaceDN w:val="0"/>
        <w:adjustRightInd w:val="0"/>
        <w:rPr>
          <w:rFonts w:ascii="Times New Roman" w:hAnsi="Times New Roman" w:cs="Times New Roman"/>
          <w:color w:val="000000"/>
          <w:sz w:val="22"/>
          <w:szCs w:val="22"/>
        </w:rPr>
      </w:pPr>
      <w:r w:rsidRPr="008E3FB6">
        <w:rPr>
          <w:rFonts w:ascii="Times New Roman" w:hAnsi="Times New Roman" w:cs="Times New Roman"/>
          <w:noProof/>
          <w:color w:val="000000"/>
          <w:sz w:val="22"/>
          <w:szCs w:val="22"/>
        </w:rPr>
        <w:drawing>
          <wp:inline distT="0" distB="0" distL="0" distR="0" wp14:anchorId="47392940" wp14:editId="6FE8EA32">
            <wp:extent cx="5943600" cy="36068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3600" cy="3606800"/>
                    </a:xfrm>
                    <a:prstGeom prst="rect">
                      <a:avLst/>
                    </a:prstGeom>
                  </pic:spPr>
                </pic:pic>
              </a:graphicData>
            </a:graphic>
          </wp:inline>
        </w:drawing>
      </w:r>
    </w:p>
    <w:p w14:paraId="74257200" w14:textId="77777777" w:rsidR="0077142C"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t>Inspired by many cation reporters in the field, especially GCaMP serials, a genetically encoded high-affinity Ca</w:t>
      </w:r>
      <w:r>
        <w:rPr>
          <w:rFonts w:ascii="Times New Roman" w:hAnsi="Times New Roman" w:cs="Times New Roman"/>
          <w:color w:val="000000"/>
          <w:sz w:val="14"/>
          <w:szCs w:val="14"/>
          <w:vertAlign w:val="superscript"/>
        </w:rPr>
        <w:t>2+</w:t>
      </w:r>
      <w:r>
        <w:rPr>
          <w:rFonts w:ascii="Times New Roman" w:hAnsi="Times New Roman" w:cs="Times New Roman"/>
          <w:color w:val="000000"/>
          <w:sz w:val="22"/>
          <w:szCs w:val="22"/>
        </w:rPr>
        <w:t xml:space="preserve"> probe, we think it is possible to construct a chloride sensor that its sensing domain is independent from its reporting domain and thus grant scientists to tune its optical properties and adjust its detection range (2). However, of all the substrate binding proteins, no chloride-specific solute binding proteins have ever been identified until two proteins caught our attentions: NreA from </w:t>
      </w:r>
      <w:r>
        <w:rPr>
          <w:rFonts w:ascii="Times New Roman" w:hAnsi="Times New Roman" w:cs="Times New Roman"/>
          <w:i/>
          <w:iCs/>
          <w:color w:val="000000"/>
          <w:sz w:val="22"/>
          <w:szCs w:val="22"/>
        </w:rPr>
        <w:t>Staphylococcus carnosus</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and from </w:t>
      </w:r>
      <w:r>
        <w:rPr>
          <w:rFonts w:ascii="Times New Roman" w:hAnsi="Times New Roman" w:cs="Times New Roman"/>
          <w:i/>
          <w:iCs/>
          <w:color w:val="000000"/>
          <w:sz w:val="22"/>
          <w:szCs w:val="22"/>
        </w:rPr>
        <w:t>Staphylococcus aureus</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Sa</w:t>
      </w:r>
      <w:r>
        <w:rPr>
          <w:rFonts w:ascii="Times New Roman" w:hAnsi="Times New Roman" w:cs="Times New Roman"/>
          <w:color w:val="000000"/>
          <w:sz w:val="22"/>
          <w:szCs w:val="22"/>
        </w:rPr>
        <w:t xml:space="preserve">NreA) because even identified as nitrate binding proteins, in their crystal structures, other anions (chloride and iodide) are also observed (3, 4). Also, it is known that naturally occurred chloride binding proteins have little selectivity over chloride, bromide, and </w:t>
      </w:r>
      <w:r>
        <w:rPr>
          <w:rFonts w:ascii="Times New Roman" w:hAnsi="Times New Roman" w:cs="Times New Roman"/>
          <w:color w:val="000000"/>
          <w:sz w:val="22"/>
          <w:szCs w:val="22"/>
        </w:rPr>
        <w:lastRenderedPageBreak/>
        <w:t>nitrate (5, 6). This is partially due to the similar physical/chemical properties shared among these anions, such as hydration enthalpies (Cl</w:t>
      </w:r>
      <w:r>
        <w:rPr>
          <w:rFonts w:ascii="Lucida Grande" w:hAnsi="Lucida Grande" w:cs="Lucida Grande"/>
          <w:color w:val="000000"/>
          <w:sz w:val="14"/>
          <w:szCs w:val="14"/>
          <w:vertAlign w:val="superscript"/>
        </w:rPr>
        <w:t>⁻</w:t>
      </w:r>
      <w:r>
        <w:rPr>
          <w:rFonts w:ascii="Times New Roman" w:hAnsi="Times New Roman" w:cs="Times New Roman"/>
          <w:color w:val="000000"/>
          <w:sz w:val="22"/>
          <w:szCs w:val="22"/>
        </w:rPr>
        <w:t xml:space="preserve"> = 381 kJ/mol, Br</w:t>
      </w:r>
      <w:r>
        <w:rPr>
          <w:rFonts w:ascii="Lucida Grande" w:hAnsi="Lucida Grande" w:cs="Lucida Grande"/>
          <w:color w:val="000000"/>
          <w:sz w:val="14"/>
          <w:szCs w:val="14"/>
          <w:vertAlign w:val="superscript"/>
        </w:rPr>
        <w:t>⁻</w:t>
      </w:r>
      <w:r>
        <w:rPr>
          <w:rFonts w:ascii="Times New Roman" w:hAnsi="Times New Roman" w:cs="Times New Roman"/>
          <w:color w:val="000000"/>
          <w:sz w:val="14"/>
          <w:szCs w:val="14"/>
          <w:vertAlign w:val="superscript"/>
        </w:rPr>
        <w:t xml:space="preserve"> </w:t>
      </w:r>
      <w:r>
        <w:rPr>
          <w:rFonts w:ascii="Times New Roman" w:hAnsi="Times New Roman" w:cs="Times New Roman"/>
          <w:color w:val="000000"/>
          <w:sz w:val="22"/>
          <w:szCs w:val="22"/>
        </w:rPr>
        <w:t>= 347 kJ/mol, and NO</w:t>
      </w:r>
      <w:r>
        <w:rPr>
          <w:rFonts w:ascii="Times New Roman" w:hAnsi="Times New Roman" w:cs="Times New Roman"/>
          <w:color w:val="000000"/>
          <w:sz w:val="14"/>
          <w:szCs w:val="14"/>
          <w:vertAlign w:val="subscript"/>
        </w:rPr>
        <w:t>3</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 314 kJ/mol), ionic radius </w:t>
      </w:r>
    </w:p>
    <w:p w14:paraId="5B9365B5" w14:textId="2640124A" w:rsidR="0077142C"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t>(Cl</w:t>
      </w:r>
      <w:r>
        <w:rPr>
          <w:rFonts w:ascii="Lucida Grande" w:hAnsi="Lucida Grande" w:cs="Lucida Grande"/>
          <w:color w:val="000000"/>
          <w:sz w:val="14"/>
          <w:szCs w:val="14"/>
          <w:vertAlign w:val="superscript"/>
        </w:rPr>
        <w:t>⁻</w:t>
      </w:r>
      <w:r>
        <w:rPr>
          <w:rFonts w:ascii="Times New Roman" w:hAnsi="Times New Roman" w:cs="Times New Roman"/>
          <w:color w:val="000000"/>
          <w:sz w:val="22"/>
          <w:szCs w:val="22"/>
        </w:rPr>
        <w:t xml:space="preserve"> = 0.172 ± 0.005 nm, Br</w:t>
      </w:r>
      <w:r>
        <w:rPr>
          <w:rFonts w:ascii="Lucida Grande" w:hAnsi="Lucida Grande" w:cs="Lucida Grande"/>
          <w:color w:val="000000"/>
          <w:sz w:val="14"/>
          <w:szCs w:val="14"/>
          <w:vertAlign w:val="superscript"/>
        </w:rPr>
        <w:t>⁻</w:t>
      </w:r>
      <w:r>
        <w:rPr>
          <w:rFonts w:ascii="Times New Roman" w:hAnsi="Times New Roman" w:cs="Times New Roman"/>
          <w:color w:val="000000"/>
          <w:sz w:val="14"/>
          <w:szCs w:val="14"/>
          <w:vertAlign w:val="superscript"/>
        </w:rPr>
        <w:t xml:space="preserve"> </w:t>
      </w:r>
      <w:r>
        <w:rPr>
          <w:rFonts w:ascii="Times New Roman" w:hAnsi="Times New Roman" w:cs="Times New Roman"/>
          <w:color w:val="000000"/>
          <w:sz w:val="22"/>
          <w:szCs w:val="22"/>
        </w:rPr>
        <w:t>= 0.188 ± 0.006 nm, and NO</w:t>
      </w:r>
      <w:r>
        <w:rPr>
          <w:rFonts w:ascii="Times New Roman" w:hAnsi="Times New Roman" w:cs="Times New Roman"/>
          <w:color w:val="000000"/>
          <w:sz w:val="14"/>
          <w:szCs w:val="14"/>
          <w:vertAlign w:val="subscript"/>
        </w:rPr>
        <w:t>3</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 0.179 ± 0.006 nm) and relative positions in Hofmeister series (SO</w:t>
      </w:r>
      <w:r>
        <w:rPr>
          <w:rFonts w:ascii="Times New Roman" w:hAnsi="Times New Roman" w:cs="Times New Roman"/>
          <w:color w:val="000000"/>
          <w:sz w:val="14"/>
          <w:szCs w:val="14"/>
          <w:vertAlign w:val="subscript"/>
        </w:rPr>
        <w:t>4</w:t>
      </w:r>
      <w:r>
        <w:rPr>
          <w:rFonts w:ascii="Times New Roman" w:hAnsi="Times New Roman" w:cs="Times New Roman"/>
          <w:color w:val="000000"/>
          <w:position w:val="4"/>
          <w:sz w:val="14"/>
          <w:szCs w:val="14"/>
          <w:vertAlign w:val="superscript"/>
        </w:rPr>
        <w:t>2-</w:t>
      </w:r>
      <w:r>
        <w:rPr>
          <w:rFonts w:ascii="Times New Roman" w:hAnsi="Times New Roman" w:cs="Times New Roman"/>
          <w:color w:val="000000"/>
          <w:sz w:val="14"/>
          <w:szCs w:val="14"/>
          <w:vertAlign w:val="superscript"/>
        </w:rPr>
        <w:t xml:space="preserve"> </w:t>
      </w:r>
      <w:r>
        <w:rPr>
          <w:rFonts w:ascii="Times New Roman" w:hAnsi="Times New Roman" w:cs="Times New Roman"/>
          <w:color w:val="000000"/>
          <w:sz w:val="22"/>
          <w:szCs w:val="22"/>
        </w:rPr>
        <w:t>&gt; HPO</w:t>
      </w:r>
      <w:r>
        <w:rPr>
          <w:rFonts w:ascii="Times New Roman" w:hAnsi="Times New Roman" w:cs="Times New Roman"/>
          <w:color w:val="000000"/>
          <w:sz w:val="14"/>
          <w:szCs w:val="14"/>
          <w:vertAlign w:val="subscript"/>
        </w:rPr>
        <w:t>4</w:t>
      </w:r>
      <w:r>
        <w:rPr>
          <w:rFonts w:ascii="Times New Roman" w:hAnsi="Times New Roman" w:cs="Times New Roman"/>
          <w:color w:val="000000"/>
          <w:position w:val="4"/>
          <w:sz w:val="14"/>
          <w:szCs w:val="14"/>
          <w:vertAlign w:val="superscript"/>
        </w:rPr>
        <w:t>2-</w:t>
      </w:r>
      <w:r>
        <w:rPr>
          <w:rFonts w:ascii="Times New Roman" w:hAnsi="Times New Roman" w:cs="Times New Roman"/>
          <w:color w:val="000000"/>
          <w:sz w:val="22"/>
          <w:szCs w:val="22"/>
        </w:rPr>
        <w:t xml:space="preserve"> &gt; F</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&gt; CH</w:t>
      </w:r>
      <w:r>
        <w:rPr>
          <w:rFonts w:ascii="Times New Roman" w:hAnsi="Times New Roman" w:cs="Times New Roman"/>
          <w:color w:val="000000"/>
          <w:sz w:val="14"/>
          <w:szCs w:val="14"/>
          <w:vertAlign w:val="subscript"/>
        </w:rPr>
        <w:t>3</w:t>
      </w:r>
      <w:r>
        <w:rPr>
          <w:rFonts w:ascii="Times New Roman" w:hAnsi="Times New Roman" w:cs="Times New Roman"/>
          <w:color w:val="000000"/>
          <w:sz w:val="22"/>
          <w:szCs w:val="22"/>
        </w:rPr>
        <w:t>COO</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&gt; Cl</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&gt; Br</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&gt; NO</w:t>
      </w:r>
      <w:r>
        <w:rPr>
          <w:rFonts w:ascii="Times New Roman" w:hAnsi="Times New Roman" w:cs="Times New Roman"/>
          <w:color w:val="000000"/>
          <w:sz w:val="14"/>
          <w:szCs w:val="14"/>
          <w:vertAlign w:val="subscript"/>
        </w:rPr>
        <w:t>3</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&gt; I</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&gt; ClO</w:t>
      </w:r>
      <w:r>
        <w:rPr>
          <w:rFonts w:ascii="Times New Roman" w:hAnsi="Times New Roman" w:cs="Times New Roman"/>
          <w:color w:val="000000"/>
          <w:sz w:val="14"/>
          <w:szCs w:val="14"/>
          <w:vertAlign w:val="subscript"/>
        </w:rPr>
        <w:t>4</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&gt; SCN</w:t>
      </w:r>
      <w:r>
        <w:rPr>
          <w:rFonts w:ascii="Lucida Grande" w:hAnsi="Lucida Grande" w:cs="Lucida Grande"/>
          <w:color w:val="000000"/>
          <w:sz w:val="22"/>
          <w:szCs w:val="22"/>
        </w:rPr>
        <w:t>⁻</w:t>
      </w:r>
      <w:r>
        <w:rPr>
          <w:rFonts w:ascii="Times New Roman" w:hAnsi="Times New Roman" w:cs="Times New Roman"/>
          <w:color w:val="000000"/>
          <w:sz w:val="22"/>
          <w:szCs w:val="22"/>
        </w:rPr>
        <w:t xml:space="preserve">) (7-9). Based upon these basic physical/chemical properties of ions, we propose one question: can we utilize the permiscuities of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and re-engineer it to cause it to bind chloride in a more selective way? In this proposal, we will introduce a new chloride sensing platform that is inspired by GCaMP and </w:t>
      </w:r>
      <w:r>
        <w:rPr>
          <w:rFonts w:ascii="Times New Roman" w:hAnsi="Times New Roman" w:cs="Times New Roman"/>
          <w:i/>
          <w:iCs/>
          <w:color w:val="000000"/>
          <w:sz w:val="22"/>
          <w:szCs w:val="22"/>
        </w:rPr>
        <w:t>Sc</w:t>
      </w:r>
      <w:r>
        <w:rPr>
          <w:rFonts w:ascii="Times New Roman" w:hAnsi="Times New Roman" w:cs="Times New Roman"/>
          <w:color w:val="000000"/>
          <w:sz w:val="22"/>
          <w:szCs w:val="22"/>
        </w:rPr>
        <w:t>NreA, including a chloride binding domain fused with a fluorescent protein.</w:t>
      </w:r>
      <w:r w:rsidR="008E3FB6" w:rsidRPr="008E3FB6">
        <w:rPr>
          <w:noProof/>
        </w:rPr>
        <w:t xml:space="preserve"> </w:t>
      </w:r>
    </w:p>
    <w:p w14:paraId="40B1A666" w14:textId="77777777" w:rsidR="0077142C" w:rsidRDefault="0077142C" w:rsidP="0077142C">
      <w:pPr>
        <w:autoSpaceDE w:val="0"/>
        <w:autoSpaceDN w:val="0"/>
        <w:adjustRightInd w:val="0"/>
        <w:rPr>
          <w:rFonts w:ascii="Times New Roman" w:hAnsi="Times New Roman" w:cs="Times New Roman"/>
          <w:b/>
          <w:bCs/>
          <w:color w:val="000000"/>
          <w:sz w:val="22"/>
          <w:szCs w:val="22"/>
        </w:rPr>
      </w:pPr>
    </w:p>
    <w:p w14:paraId="7A496221" w14:textId="556D72CE" w:rsidR="0077142C" w:rsidRDefault="0077142C" w:rsidP="0077142C">
      <w:pPr>
        <w:autoSpaceDE w:val="0"/>
        <w:autoSpaceDN w:val="0"/>
        <w:adjustRightInd w:val="0"/>
        <w:rPr>
          <w:rFonts w:ascii="Times New Roman" w:hAnsi="Times New Roman" w:cs="Times New Roman"/>
          <w:b/>
          <w:bCs/>
          <w:color w:val="000000"/>
          <w:sz w:val="22"/>
          <w:szCs w:val="22"/>
        </w:rPr>
      </w:pPr>
      <w:r>
        <w:rPr>
          <w:rFonts w:ascii="Times New Roman" w:hAnsi="Times New Roman" w:cs="Times New Roman"/>
          <w:b/>
          <w:bCs/>
          <w:color w:val="000000"/>
          <w:sz w:val="22"/>
          <w:szCs w:val="22"/>
        </w:rPr>
        <w:t xml:space="preserve">Aim 1: </w:t>
      </w:r>
      <w:r>
        <w:rPr>
          <w:rFonts w:ascii="Times New Roman" w:hAnsi="Times New Roman" w:cs="Times New Roman"/>
          <w:b/>
          <w:bCs/>
          <w:i/>
          <w:iCs/>
          <w:color w:val="000000"/>
          <w:sz w:val="22"/>
          <w:szCs w:val="22"/>
        </w:rPr>
        <w:t>In vitro</w:t>
      </w:r>
      <w:r>
        <w:rPr>
          <w:rFonts w:ascii="Times New Roman" w:hAnsi="Times New Roman" w:cs="Times New Roman"/>
          <w:b/>
          <w:bCs/>
          <w:color w:val="000000"/>
          <w:sz w:val="22"/>
          <w:szCs w:val="22"/>
        </w:rPr>
        <w:t xml:space="preserve"> characterizations of </w:t>
      </w:r>
      <w:r>
        <w:rPr>
          <w:rFonts w:ascii="Times New Roman" w:hAnsi="Times New Roman" w:cs="Times New Roman"/>
          <w:b/>
          <w:bCs/>
          <w:i/>
          <w:iCs/>
          <w:color w:val="000000"/>
          <w:sz w:val="22"/>
          <w:szCs w:val="22"/>
        </w:rPr>
        <w:t>Sc</w:t>
      </w:r>
      <w:r>
        <w:rPr>
          <w:rFonts w:ascii="Times New Roman" w:hAnsi="Times New Roman" w:cs="Times New Roman"/>
          <w:b/>
          <w:bCs/>
          <w:color w:val="000000"/>
          <w:sz w:val="22"/>
          <w:szCs w:val="22"/>
        </w:rPr>
        <w:t xml:space="preserve">NreA and </w:t>
      </w:r>
      <w:r>
        <w:rPr>
          <w:rFonts w:ascii="Times New Roman" w:hAnsi="Times New Roman" w:cs="Times New Roman"/>
          <w:b/>
          <w:bCs/>
          <w:i/>
          <w:iCs/>
          <w:color w:val="000000"/>
          <w:sz w:val="22"/>
          <w:szCs w:val="22"/>
        </w:rPr>
        <w:t>Sa</w:t>
      </w:r>
      <w:r>
        <w:rPr>
          <w:rFonts w:ascii="Times New Roman" w:hAnsi="Times New Roman" w:cs="Times New Roman"/>
          <w:b/>
          <w:bCs/>
          <w:color w:val="000000"/>
          <w:sz w:val="22"/>
          <w:szCs w:val="22"/>
        </w:rPr>
        <w:t>NreA as the chloride sensing domain</w:t>
      </w:r>
    </w:p>
    <w:p w14:paraId="6C468C57" w14:textId="77777777" w:rsidR="0077142C" w:rsidRDefault="0077142C" w:rsidP="0077142C">
      <w:pPr>
        <w:autoSpaceDE w:val="0"/>
        <w:autoSpaceDN w:val="0"/>
        <w:adjustRightInd w:val="0"/>
        <w:rPr>
          <w:rFonts w:ascii="Times New Roman" w:hAnsi="Times New Roman" w:cs="Times New Roman"/>
          <w:color w:val="000000"/>
          <w:sz w:val="22"/>
          <w:szCs w:val="22"/>
        </w:rPr>
      </w:pPr>
    </w:p>
    <w:p w14:paraId="3A5DE696" w14:textId="69C2C5BF" w:rsidR="0077142C" w:rsidRPr="00737052"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t xml:space="preserve">In this aim, we propose to test the possibility if a naturally occurring nitrate binding protein, namely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and </w:t>
      </w:r>
      <w:r>
        <w:rPr>
          <w:rFonts w:ascii="Times New Roman" w:hAnsi="Times New Roman" w:cs="Times New Roman"/>
          <w:i/>
          <w:iCs/>
          <w:color w:val="000000"/>
          <w:sz w:val="22"/>
          <w:szCs w:val="22"/>
        </w:rPr>
        <w:t>Sa</w:t>
      </w:r>
      <w:r>
        <w:rPr>
          <w:rFonts w:ascii="Times New Roman" w:hAnsi="Times New Roman" w:cs="Times New Roman"/>
          <w:color w:val="000000"/>
          <w:sz w:val="22"/>
          <w:szCs w:val="22"/>
        </w:rPr>
        <w:t xml:space="preserve">NreA, is able to bind other anions.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was identified as part of NreABC system that is responsible for nitrate transcriptional regulation in bacteria (10). Specifically, nitrate binds to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and releases it from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NreB and thus activates the downstream mechanism (11). Yet, crystallographic studies show that other than nitrate (Figure 2A),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may have other cofactors, such as iodide. </w:t>
      </w:r>
      <w:r>
        <w:rPr>
          <w:rFonts w:ascii="Times New Roman" w:hAnsi="Times New Roman" w:cs="Times New Roman"/>
          <w:i/>
          <w:iCs/>
          <w:color w:val="000000"/>
          <w:sz w:val="22"/>
          <w:szCs w:val="22"/>
        </w:rPr>
        <w:t>in vivo</w:t>
      </w:r>
      <w:r>
        <w:rPr>
          <w:rFonts w:ascii="Times New Roman" w:hAnsi="Times New Roman" w:cs="Times New Roman"/>
          <w:color w:val="000000"/>
          <w:sz w:val="22"/>
          <w:szCs w:val="22"/>
        </w:rPr>
        <w:t xml:space="preserve"> studies have confirmed this hypothesis and demonstrates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indeed bound with iodide (PDB ID: 4IUH) and is not a mere crystallographic effect (3). One possible explanation is that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has a relatively flexible binding pocket because the anions are only stabilized through hydrogen bondings (Figure 2B), whereas </w:t>
      </w:r>
      <w:proofErr w:type="gramStart"/>
      <w:r>
        <w:rPr>
          <w:rFonts w:ascii="Times New Roman" w:hAnsi="Times New Roman" w:cs="Times New Roman"/>
          <w:color w:val="000000"/>
          <w:sz w:val="22"/>
          <w:szCs w:val="22"/>
        </w:rPr>
        <w:t>the majority of</w:t>
      </w:r>
      <w:proofErr w:type="gramEnd"/>
      <w:r>
        <w:rPr>
          <w:rFonts w:ascii="Times New Roman" w:hAnsi="Times New Roman" w:cs="Times New Roman"/>
          <w:color w:val="000000"/>
          <w:sz w:val="22"/>
          <w:szCs w:val="22"/>
        </w:rPr>
        <w:t xml:space="preserve"> anion binding proteins that are very selective contain one or two positively charged residues in their binding sites which </w:t>
      </w:r>
      <w:r w:rsidRPr="00BC65CE">
        <w:rPr>
          <w:rFonts w:ascii="Times New Roman" w:hAnsi="Times New Roman" w:cs="Times New Roman"/>
          <w:color w:val="000000"/>
          <w:sz w:val="22"/>
          <w:szCs w:val="22"/>
        </w:rPr>
        <w:t>introduce</w:t>
      </w:r>
      <w:r w:rsidRPr="00737052">
        <w:rPr>
          <w:rFonts w:ascii="Times New Roman" w:hAnsi="Times New Roman" w:cs="Times New Roman"/>
          <w:color w:val="000000"/>
          <w:sz w:val="22"/>
          <w:szCs w:val="22"/>
        </w:rPr>
        <w:t xml:space="preserve"> more rigidity </w:t>
      </w:r>
      <w:r>
        <w:rPr>
          <w:rFonts w:ascii="Times New Roman" w:hAnsi="Times New Roman" w:cs="Times New Roman"/>
          <w:color w:val="000000"/>
          <w:sz w:val="22"/>
          <w:szCs w:val="22"/>
        </w:rPr>
        <w:t>when</w:t>
      </w:r>
      <w:r w:rsidRPr="00737052">
        <w:rPr>
          <w:rFonts w:ascii="Times New Roman" w:hAnsi="Times New Roman" w:cs="Times New Roman"/>
          <w:color w:val="000000"/>
          <w:sz w:val="22"/>
          <w:szCs w:val="22"/>
        </w:rPr>
        <w:t xml:space="preserve"> a protein adopts different conformations (anion binding protein with selectivities)</w:t>
      </w:r>
      <w:r w:rsidRPr="00BC65CE">
        <w:rPr>
          <w:rFonts w:ascii="Times New Roman" w:hAnsi="Times New Roman" w:cs="Times New Roman"/>
          <w:color w:val="000000"/>
          <w:sz w:val="22"/>
          <w:szCs w:val="22"/>
        </w:rPr>
        <w:t>. T</w:t>
      </w:r>
      <w:r w:rsidRPr="00231BD7">
        <w:rPr>
          <w:rFonts w:ascii="Times New Roman" w:hAnsi="Times New Roman" w:cs="Times New Roman"/>
          <w:sz w:val="22"/>
          <w:szCs w:val="22"/>
        </w:rPr>
        <w:t>his</w:t>
      </w:r>
      <w:r w:rsidRPr="00BC65CE">
        <w:rPr>
          <w:rFonts w:ascii="Times New Roman" w:hAnsi="Times New Roman" w:cs="Times New Roman"/>
          <w:color w:val="000000"/>
          <w:sz w:val="22"/>
          <w:szCs w:val="22"/>
        </w:rPr>
        <w:t xml:space="preserve"> discovery </w:t>
      </w:r>
      <w:r>
        <w:rPr>
          <w:rFonts w:ascii="Times New Roman" w:hAnsi="Times New Roman" w:cs="Times New Roman"/>
          <w:color w:val="000000"/>
          <w:sz w:val="22"/>
          <w:szCs w:val="22"/>
        </w:rPr>
        <w:t>provides</w:t>
      </w:r>
      <w:r w:rsidRPr="00BC65CE">
        <w:rPr>
          <w:rFonts w:ascii="Times New Roman" w:hAnsi="Times New Roman" w:cs="Times New Roman"/>
          <w:color w:val="000000"/>
          <w:sz w:val="22"/>
          <w:szCs w:val="22"/>
        </w:rPr>
        <w:t xml:space="preserve"> us a basis to explore further in the selectivities of anion binding proteins.</w:t>
      </w:r>
      <w:r w:rsidRPr="00737052">
        <w:rPr>
          <w:rFonts w:ascii="Times New Roman" w:hAnsi="Times New Roman" w:cs="Times New Roman"/>
          <w:color w:val="000000"/>
          <w:sz w:val="22"/>
          <w:szCs w:val="22"/>
        </w:rPr>
        <w:t xml:space="preserve">   </w:t>
      </w:r>
    </w:p>
    <w:p w14:paraId="58D78012" w14:textId="77777777" w:rsidR="0077142C" w:rsidRDefault="0077142C" w:rsidP="0077142C">
      <w:pPr>
        <w:autoSpaceDE w:val="0"/>
        <w:autoSpaceDN w:val="0"/>
        <w:adjustRightInd w:val="0"/>
        <w:rPr>
          <w:rFonts w:ascii="Times New Roman" w:hAnsi="Times New Roman" w:cs="Times New Roman"/>
          <w:color w:val="000000"/>
          <w:sz w:val="22"/>
          <w:szCs w:val="22"/>
        </w:rPr>
      </w:pPr>
    </w:p>
    <w:p w14:paraId="5E592AB9" w14:textId="6B61C075" w:rsidR="0077142C" w:rsidRDefault="0077142C" w:rsidP="0077142C">
      <w:pPr>
        <w:autoSpaceDE w:val="0"/>
        <w:autoSpaceDN w:val="0"/>
        <w:adjustRightInd w:val="0"/>
        <w:rPr>
          <w:rFonts w:ascii="Times New Roman" w:hAnsi="Times New Roman" w:cs="Times New Roman"/>
          <w:color w:val="000000"/>
          <w:sz w:val="22"/>
          <w:szCs w:val="22"/>
        </w:rPr>
      </w:pPr>
      <w:r w:rsidRPr="0077142C">
        <w:rPr>
          <w:rFonts w:ascii="Times New Roman" w:hAnsi="Times New Roman" w:cs="Times New Roman"/>
          <w:color w:val="000000"/>
          <w:sz w:val="22"/>
          <w:szCs w:val="22"/>
        </w:rPr>
        <w:t>Furthermore, recent study provides more structural insights into the relationship of protein conformational changes and promiscuity of anion interactions. SaNreA is a structural homolog to ScNreA (4IUK vs. 6IZJ, RMSD = 0. 732) and shares only 46% identity in sequence. However, SaNreA_Y95A has a chloride ion bound to it</w:t>
      </w:r>
      <w:r>
        <w:rPr>
          <w:rFonts w:ascii="Times New Roman" w:hAnsi="Times New Roman" w:cs="Times New Roman"/>
          <w:color w:val="000000"/>
          <w:sz w:val="22"/>
          <w:szCs w:val="22"/>
        </w:rPr>
        <w:t xml:space="preserve"> (4)</w:t>
      </w:r>
      <w:r w:rsidRPr="0077142C">
        <w:rPr>
          <w:rFonts w:ascii="Times New Roman" w:hAnsi="Times New Roman" w:cs="Times New Roman"/>
          <w:color w:val="000000"/>
          <w:sz w:val="22"/>
          <w:szCs w:val="22"/>
        </w:rPr>
        <w:t>. Two major structural statements can be found in this study. Firstly, crystal structure of SaNreA (PDB ID: 6IZJ) shows its C-terminal loop may play a role in NreA-NreB interaction: in the absence of nitrate, the C-terminal region of SaNreA forms a helix (α7) that inhibits NreB’s phosphorylation; when nitrate binds to, the α7 is unwinded and forms a loop; thus releases NreB and triggers the rest of NreABC system (</w:t>
      </w:r>
      <w:r>
        <w:rPr>
          <w:rFonts w:ascii="Times New Roman" w:hAnsi="Times New Roman" w:cs="Times New Roman"/>
          <w:color w:val="000000"/>
          <w:sz w:val="22"/>
          <w:szCs w:val="22"/>
        </w:rPr>
        <w:t>4</w:t>
      </w:r>
      <w:r w:rsidRPr="0077142C">
        <w:rPr>
          <w:rFonts w:ascii="Times New Roman" w:hAnsi="Times New Roman" w:cs="Times New Roman"/>
          <w:color w:val="000000"/>
          <w:sz w:val="22"/>
          <w:szCs w:val="22"/>
        </w:rPr>
        <w:t>). Secondly, SaNreA_Y95A structures (PDB ID: 6K2H and 6IZK) indirectly confirms the observations made in the mutation studies of ScNreA. For example, ScNreA_Y95A is 5 times weaker than WT ScNreA and displays a complete loss of nitrate binding ability in vivo studies (</w:t>
      </w:r>
      <w:r>
        <w:rPr>
          <w:rFonts w:ascii="Times New Roman" w:hAnsi="Times New Roman" w:cs="Times New Roman"/>
          <w:color w:val="000000"/>
          <w:sz w:val="22"/>
          <w:szCs w:val="22"/>
        </w:rPr>
        <w:t>3, 4</w:t>
      </w:r>
      <w:r w:rsidRPr="0077142C">
        <w:rPr>
          <w:rFonts w:ascii="Times New Roman" w:hAnsi="Times New Roman" w:cs="Times New Roman"/>
          <w:color w:val="000000"/>
          <w:sz w:val="22"/>
          <w:szCs w:val="22"/>
        </w:rPr>
        <w:t>). We believe that replacing tyrosine with alanine forces the protein to rearrange the residues around its binding pocket, especially their site chain orientations, and thus renders the space available to anions, even though the overall structure does not change very much (4IUK vs. 6IZK, RMSD = 0.633) (Figure 3C). Based upon the above information, we speculate that there are one or more proteins among ScNreA, ScNreA mutants, SaNreA, and SaNreA mutants have weak chloride binding ability.</w:t>
      </w:r>
    </w:p>
    <w:p w14:paraId="1DC8E289" w14:textId="666AA39B" w:rsidR="0077142C" w:rsidRDefault="008E3FB6" w:rsidP="0077142C">
      <w:pPr>
        <w:autoSpaceDE w:val="0"/>
        <w:autoSpaceDN w:val="0"/>
        <w:adjustRightInd w:val="0"/>
        <w:rPr>
          <w:rFonts w:ascii="Times New Roman" w:hAnsi="Times New Roman" w:cs="Times New Roman"/>
          <w:color w:val="000000"/>
          <w:sz w:val="22"/>
          <w:szCs w:val="22"/>
        </w:rPr>
      </w:pPr>
      <w:r w:rsidRPr="008E3FB6">
        <w:rPr>
          <w:rFonts w:ascii="Times New Roman" w:hAnsi="Times New Roman" w:cs="Times New Roman"/>
          <w:noProof/>
          <w:color w:val="000000"/>
          <w:sz w:val="22"/>
          <w:szCs w:val="22"/>
        </w:rPr>
        <w:lastRenderedPageBreak/>
        <w:drawing>
          <wp:inline distT="0" distB="0" distL="0" distR="0" wp14:anchorId="24136274" wp14:editId="6C76967A">
            <wp:extent cx="5943600" cy="5588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5588000"/>
                    </a:xfrm>
                    <a:prstGeom prst="rect">
                      <a:avLst/>
                    </a:prstGeom>
                  </pic:spPr>
                </pic:pic>
              </a:graphicData>
            </a:graphic>
          </wp:inline>
        </w:drawing>
      </w:r>
    </w:p>
    <w:p w14:paraId="3744239E" w14:textId="0E78277F" w:rsidR="0077142C" w:rsidRDefault="0077142C" w:rsidP="0077142C">
      <w:pPr>
        <w:autoSpaceDE w:val="0"/>
        <w:autoSpaceDN w:val="0"/>
        <w:adjustRightInd w:val="0"/>
        <w:rPr>
          <w:rFonts w:ascii="Times New Roman" w:hAnsi="Times New Roman" w:cs="Times New Roman"/>
          <w:color w:val="000000"/>
          <w:sz w:val="22"/>
          <w:szCs w:val="22"/>
        </w:rPr>
      </w:pPr>
      <w:r w:rsidRPr="0077142C">
        <w:rPr>
          <w:rFonts w:ascii="Times New Roman" w:hAnsi="Times New Roman" w:cs="Times New Roman"/>
          <w:color w:val="000000"/>
          <w:sz w:val="22"/>
          <w:szCs w:val="22"/>
        </w:rPr>
        <w:t>In order to validate our hypothesis, we will obtain proteins for in vitro experiments by Escherichia coli overexpression system. Plasmids containing full length ScNreA will be cloned into pET-21</w:t>
      </w:r>
      <w:proofErr w:type="gramStart"/>
      <w:r w:rsidRPr="0077142C">
        <w:rPr>
          <w:rFonts w:ascii="Times New Roman" w:hAnsi="Times New Roman" w:cs="Times New Roman"/>
          <w:color w:val="000000"/>
          <w:sz w:val="22"/>
          <w:szCs w:val="22"/>
        </w:rPr>
        <w:t>a(</w:t>
      </w:r>
      <w:proofErr w:type="gramEnd"/>
      <w:r w:rsidRPr="0077142C">
        <w:rPr>
          <w:rFonts w:ascii="Times New Roman" w:hAnsi="Times New Roman" w:cs="Times New Roman"/>
          <w:color w:val="000000"/>
          <w:sz w:val="22"/>
          <w:szCs w:val="22"/>
        </w:rPr>
        <w:t>+) vector between NdeI and HindIII and transformed into elec</w:t>
      </w:r>
      <w:r w:rsidRPr="0077142C">
        <w:rPr>
          <w:rFonts w:ascii="Times New Roman" w:hAnsi="Times New Roman" w:cs="Times New Roman" w:hint="eastAsia"/>
          <w:color w:val="000000"/>
          <w:sz w:val="22"/>
          <w:szCs w:val="22"/>
        </w:rPr>
        <w:t xml:space="preserve">trocompetent E. cloni BL21  (DE3)  cells with a MicroPulser Electroporator. Cells containing the plasmid will will be selected via Luria Broth plate that has 100 </w:t>
      </w:r>
      <w:r w:rsidRPr="0077142C">
        <w:rPr>
          <w:rFonts w:ascii="Times New Roman" w:hAnsi="Times New Roman" w:cs="Times New Roman"/>
          <w:color w:val="000000"/>
          <w:sz w:val="22"/>
          <w:szCs w:val="22"/>
        </w:rPr>
        <w:t>μ</w:t>
      </w:r>
      <w:r w:rsidRPr="0077142C">
        <w:rPr>
          <w:rFonts w:ascii="Times New Roman" w:hAnsi="Times New Roman" w:cs="Times New Roman" w:hint="eastAsia"/>
          <w:color w:val="000000"/>
          <w:sz w:val="22"/>
          <w:szCs w:val="22"/>
        </w:rPr>
        <w:t xml:space="preserve">g/mL ampicillin after overnight incubation at 37 </w:t>
      </w:r>
      <w:r w:rsidRPr="0077142C">
        <w:rPr>
          <w:rFonts w:ascii="Times New Roman" w:hAnsi="Times New Roman" w:cs="Times New Roman"/>
          <w:color w:val="000000"/>
          <w:sz w:val="22"/>
          <w:szCs w:val="22"/>
        </w:rPr>
        <w:t>℃</w:t>
      </w:r>
      <w:r w:rsidRPr="0077142C">
        <w:rPr>
          <w:rFonts w:ascii="Times New Roman" w:hAnsi="Times New Roman" w:cs="Times New Roman" w:hint="eastAsia"/>
          <w:color w:val="000000"/>
          <w:sz w:val="22"/>
          <w:szCs w:val="22"/>
        </w:rPr>
        <w:t>. If transformation is successful, the expr</w:t>
      </w:r>
      <w:r w:rsidRPr="0077142C">
        <w:rPr>
          <w:rFonts w:ascii="Times New Roman" w:hAnsi="Times New Roman" w:cs="Times New Roman"/>
          <w:color w:val="000000"/>
          <w:sz w:val="22"/>
          <w:szCs w:val="22"/>
        </w:rPr>
        <w:t xml:space="preserve">ession condition will be optimized by changing medias, expression times, temperatures, IPTG concentrations, and etc. The expression results will be confirmed by SDS-PAGE and Western blot. Then the cells will grow in optimal condition and be harvest via centrifugation. Harvested cell pellet will be resuspended in lysis buffer that contain deoxyribonucleases and protease inhibitors. Cells will be disrupted using sonication and the lysate will be clarified via ultracentrifuge. In order to separate ScNreA from other E. coli proteins, clarified lysate will be loaded on 1 mL nickel nitrilotriacetic acid (Ni-NTA) affinity column. The fractions pooled from Ni-NTA column will be checked via SDS-PAGE and Western blot to see if ScNreA is more than 90 % pure. The fractions with more than 90% purity will be combined and dialyzed in a chloride-free buffer to remove chloride and imidazole. Otherwise, they will </w:t>
      </w:r>
      <w:proofErr w:type="gramStart"/>
      <w:r w:rsidRPr="0077142C">
        <w:rPr>
          <w:rFonts w:ascii="Times New Roman" w:hAnsi="Times New Roman" w:cs="Times New Roman"/>
          <w:color w:val="000000"/>
          <w:sz w:val="22"/>
          <w:szCs w:val="22"/>
        </w:rPr>
        <w:t>purified</w:t>
      </w:r>
      <w:proofErr w:type="gramEnd"/>
      <w:r w:rsidRPr="0077142C">
        <w:rPr>
          <w:rFonts w:ascii="Times New Roman" w:hAnsi="Times New Roman" w:cs="Times New Roman"/>
          <w:color w:val="000000"/>
          <w:sz w:val="22"/>
          <w:szCs w:val="22"/>
        </w:rPr>
        <w:t xml:space="preserve"> on size-exclusion column before the dialysis step.</w:t>
      </w:r>
    </w:p>
    <w:p w14:paraId="328FFA18" w14:textId="77777777" w:rsidR="0077142C" w:rsidRDefault="0077142C" w:rsidP="0077142C">
      <w:pPr>
        <w:autoSpaceDE w:val="0"/>
        <w:autoSpaceDN w:val="0"/>
        <w:adjustRightInd w:val="0"/>
        <w:rPr>
          <w:rFonts w:ascii="Times New Roman" w:hAnsi="Times New Roman" w:cs="Times New Roman"/>
          <w:color w:val="000000"/>
          <w:sz w:val="22"/>
          <w:szCs w:val="22"/>
        </w:rPr>
      </w:pPr>
    </w:p>
    <w:p w14:paraId="290659DD" w14:textId="6D218AE8" w:rsidR="0077142C" w:rsidRPr="0077142C" w:rsidRDefault="0077142C" w:rsidP="0077142C">
      <w:pPr>
        <w:autoSpaceDE w:val="0"/>
        <w:autoSpaceDN w:val="0"/>
        <w:adjustRightInd w:val="0"/>
        <w:rPr>
          <w:rFonts w:ascii="Times New Roman" w:hAnsi="Times New Roman" w:cs="Times New Roman"/>
          <w:color w:val="000000"/>
          <w:sz w:val="22"/>
          <w:szCs w:val="22"/>
        </w:rPr>
      </w:pPr>
      <w:r w:rsidRPr="0077142C">
        <w:rPr>
          <w:rFonts w:ascii="Times New Roman" w:hAnsi="Times New Roman" w:cs="Times New Roman"/>
          <w:color w:val="000000"/>
          <w:sz w:val="22"/>
          <w:szCs w:val="22"/>
        </w:rPr>
        <w:lastRenderedPageBreak/>
        <w:t xml:space="preserve">Finally, </w:t>
      </w:r>
      <w:r w:rsidRPr="0077142C">
        <w:rPr>
          <w:rFonts w:ascii="Times New Roman" w:hAnsi="Times New Roman" w:cs="Times New Roman"/>
          <w:i/>
          <w:iCs/>
          <w:color w:val="000000"/>
          <w:sz w:val="22"/>
          <w:szCs w:val="22"/>
        </w:rPr>
        <w:t>Sc</w:t>
      </w:r>
      <w:r w:rsidRPr="0077142C">
        <w:rPr>
          <w:rFonts w:ascii="Times New Roman" w:hAnsi="Times New Roman" w:cs="Times New Roman"/>
          <w:color w:val="000000"/>
          <w:sz w:val="22"/>
          <w:szCs w:val="22"/>
        </w:rPr>
        <w:t>NreA-anion binding abilities will be tested via differential scanning fluorimetry (DSF), a fast and high-throughput technique based on protein thermal stability that is normally used in drug and crystallographic condition screening (</w:t>
      </w:r>
      <w:r>
        <w:rPr>
          <w:rFonts w:ascii="Times New Roman" w:hAnsi="Times New Roman" w:cs="Times New Roman"/>
          <w:color w:val="000000"/>
          <w:sz w:val="22"/>
          <w:szCs w:val="22"/>
        </w:rPr>
        <w:t>12</w:t>
      </w:r>
      <w:r w:rsidRPr="0077142C">
        <w:rPr>
          <w:rFonts w:ascii="Times New Roman" w:hAnsi="Times New Roman" w:cs="Times New Roman"/>
          <w:color w:val="000000"/>
          <w:sz w:val="22"/>
          <w:szCs w:val="22"/>
        </w:rPr>
        <w:t>). Since the protein stability decreases with temperature, as the temperature increase, the amount of unfolded protein will also increase. At one point, the concentration of unfolded protein equals the concentration of folded protein (assuming other experimental condition remain constant). This temperature at this point is considered the melting temperature (</w:t>
      </w:r>
      <w:r w:rsidRPr="0077142C">
        <w:rPr>
          <w:rFonts w:ascii="Times New Roman" w:hAnsi="Times New Roman" w:cs="Times New Roman"/>
          <w:i/>
          <w:iCs/>
          <w:color w:val="000000"/>
          <w:sz w:val="22"/>
          <w:szCs w:val="22"/>
        </w:rPr>
        <w:t>T</w:t>
      </w:r>
      <w:r w:rsidRPr="0077142C">
        <w:rPr>
          <w:rFonts w:ascii="Times New Roman" w:hAnsi="Times New Roman" w:cs="Times New Roman"/>
          <w:color w:val="000000"/>
          <w:sz w:val="22"/>
          <w:szCs w:val="22"/>
          <w:vertAlign w:val="subscript"/>
        </w:rPr>
        <w:t>m</w:t>
      </w:r>
      <w:r w:rsidRPr="0077142C">
        <w:rPr>
          <w:rFonts w:ascii="Times New Roman" w:hAnsi="Times New Roman" w:cs="Times New Roman"/>
          <w:color w:val="000000"/>
          <w:sz w:val="22"/>
          <w:szCs w:val="22"/>
        </w:rPr>
        <w:t xml:space="preserve">) of a protein. Therefore, when a compound binds to the same protein, the protein-compound complex will display a </w:t>
      </w:r>
      <w:r w:rsidRPr="0077142C">
        <w:rPr>
          <w:rFonts w:ascii="Times New Roman" w:hAnsi="Times New Roman" w:cs="Times New Roman"/>
          <w:i/>
          <w:iCs/>
          <w:color w:val="000000"/>
          <w:sz w:val="22"/>
          <w:szCs w:val="22"/>
        </w:rPr>
        <w:t>T</w:t>
      </w:r>
      <w:r w:rsidRPr="0077142C">
        <w:rPr>
          <w:rFonts w:ascii="Times New Roman" w:hAnsi="Times New Roman" w:cs="Times New Roman"/>
          <w:color w:val="000000"/>
          <w:sz w:val="22"/>
          <w:szCs w:val="22"/>
          <w:vertAlign w:val="subscript"/>
        </w:rPr>
        <w:t>m</w:t>
      </w:r>
      <w:r w:rsidRPr="0077142C">
        <w:rPr>
          <w:rFonts w:ascii="Times New Roman" w:hAnsi="Times New Roman" w:cs="Times New Roman"/>
          <w:color w:val="000000"/>
          <w:sz w:val="22"/>
          <w:szCs w:val="22"/>
        </w:rPr>
        <w:t xml:space="preserve"> shift, since the ligand binding will cause an increase in </w:t>
      </w:r>
      <w:r w:rsidRPr="0077142C">
        <w:rPr>
          <w:rFonts w:ascii="Times New Roman" w:hAnsi="Times New Roman" w:cs="Times New Roman"/>
          <w:i/>
          <w:iCs/>
          <w:color w:val="000000"/>
          <w:sz w:val="22"/>
          <w:szCs w:val="22"/>
        </w:rPr>
        <w:t>T</w:t>
      </w:r>
      <w:r w:rsidRPr="0077142C">
        <w:rPr>
          <w:rFonts w:ascii="Times New Roman" w:hAnsi="Times New Roman" w:cs="Times New Roman"/>
          <w:color w:val="000000"/>
          <w:sz w:val="22"/>
          <w:szCs w:val="22"/>
          <w:vertAlign w:val="subscript"/>
        </w:rPr>
        <w:t>m</w:t>
      </w:r>
      <w:r w:rsidRPr="0077142C">
        <w:rPr>
          <w:rFonts w:ascii="Times New Roman" w:hAnsi="Times New Roman" w:cs="Times New Roman"/>
          <w:color w:val="000000"/>
          <w:sz w:val="22"/>
          <w:szCs w:val="22"/>
        </w:rPr>
        <w:t xml:space="preserve"> due to its stabilization effect (</w:t>
      </w:r>
      <w:r>
        <w:rPr>
          <w:rFonts w:ascii="Times New Roman" w:hAnsi="Times New Roman" w:cs="Times New Roman"/>
          <w:color w:val="000000"/>
          <w:sz w:val="22"/>
          <w:szCs w:val="22"/>
        </w:rPr>
        <w:t>12</w:t>
      </w:r>
      <w:r w:rsidRPr="0077142C">
        <w:rPr>
          <w:rFonts w:ascii="Times New Roman" w:hAnsi="Times New Roman" w:cs="Times New Roman"/>
          <w:color w:val="000000"/>
          <w:sz w:val="22"/>
          <w:szCs w:val="22"/>
        </w:rPr>
        <w:t xml:space="preserve">). Although DSF had demonstrated that the binding affinity can be extrapolated from the </w:t>
      </w:r>
      <w:r w:rsidRPr="0077142C">
        <w:rPr>
          <w:rFonts w:ascii="Times New Roman" w:hAnsi="Times New Roman" w:cs="Times New Roman"/>
          <w:i/>
          <w:iCs/>
          <w:color w:val="000000"/>
          <w:sz w:val="22"/>
          <w:szCs w:val="22"/>
        </w:rPr>
        <w:t>T</w:t>
      </w:r>
      <w:r w:rsidRPr="0077142C">
        <w:rPr>
          <w:rFonts w:ascii="Times New Roman" w:hAnsi="Times New Roman" w:cs="Times New Roman"/>
          <w:color w:val="000000"/>
          <w:sz w:val="22"/>
          <w:szCs w:val="22"/>
          <w:vertAlign w:val="subscript"/>
        </w:rPr>
        <w:t>m</w:t>
      </w:r>
      <w:r w:rsidRPr="0077142C">
        <w:rPr>
          <w:rFonts w:ascii="Times New Roman" w:hAnsi="Times New Roman" w:cs="Times New Roman"/>
          <w:color w:val="000000"/>
          <w:sz w:val="22"/>
          <w:szCs w:val="22"/>
        </w:rPr>
        <w:t xml:space="preserve"> shifts, interpreting quantitive information (e.g. binding constant </w:t>
      </w:r>
      <w:r w:rsidRPr="0077142C">
        <w:rPr>
          <w:rFonts w:ascii="Times New Roman" w:hAnsi="Times New Roman" w:cs="Times New Roman"/>
          <w:i/>
          <w:iCs/>
          <w:color w:val="000000"/>
          <w:sz w:val="22"/>
          <w:szCs w:val="22"/>
        </w:rPr>
        <w:t>K</w:t>
      </w:r>
      <w:r w:rsidRPr="0077142C">
        <w:rPr>
          <w:rFonts w:ascii="Times New Roman" w:hAnsi="Times New Roman" w:cs="Times New Roman"/>
          <w:color w:val="000000"/>
          <w:sz w:val="22"/>
          <w:szCs w:val="22"/>
          <w:vertAlign w:val="subscript"/>
        </w:rPr>
        <w:t>d</w:t>
      </w:r>
      <w:r w:rsidRPr="0077142C">
        <w:rPr>
          <w:rFonts w:ascii="Times New Roman" w:hAnsi="Times New Roman" w:cs="Times New Roman"/>
          <w:color w:val="000000"/>
          <w:sz w:val="22"/>
          <w:szCs w:val="22"/>
        </w:rPr>
        <w:t>) need to be done with caution (</w:t>
      </w:r>
      <w:r>
        <w:rPr>
          <w:rFonts w:ascii="Times New Roman" w:hAnsi="Times New Roman" w:cs="Times New Roman"/>
          <w:color w:val="000000"/>
          <w:sz w:val="22"/>
          <w:szCs w:val="22"/>
        </w:rPr>
        <w:t>13</w:t>
      </w:r>
      <w:r w:rsidRPr="0077142C">
        <w:rPr>
          <w:rFonts w:ascii="Times New Roman" w:hAnsi="Times New Roman" w:cs="Times New Roman"/>
          <w:color w:val="000000"/>
          <w:sz w:val="22"/>
          <w:szCs w:val="22"/>
        </w:rPr>
        <w:t xml:space="preserve">). However, regarding qualitative measurement, it has been shown and used in many studies that a </w:t>
      </w:r>
      <w:r w:rsidRPr="0077142C">
        <w:rPr>
          <w:rFonts w:ascii="Times New Roman" w:hAnsi="Times New Roman" w:cs="Times New Roman"/>
          <w:i/>
          <w:iCs/>
          <w:color w:val="000000"/>
          <w:sz w:val="22"/>
          <w:szCs w:val="22"/>
        </w:rPr>
        <w:t>T</w:t>
      </w:r>
      <w:r w:rsidRPr="0077142C">
        <w:rPr>
          <w:rFonts w:ascii="Times New Roman" w:hAnsi="Times New Roman" w:cs="Times New Roman"/>
          <w:color w:val="000000"/>
          <w:sz w:val="22"/>
          <w:szCs w:val="22"/>
          <w:vertAlign w:val="subscript"/>
        </w:rPr>
        <w:t>m</w:t>
      </w:r>
      <w:r w:rsidRPr="0077142C">
        <w:rPr>
          <w:rFonts w:ascii="Times New Roman" w:hAnsi="Times New Roman" w:cs="Times New Roman"/>
          <w:color w:val="000000"/>
          <w:sz w:val="22"/>
          <w:szCs w:val="22"/>
        </w:rPr>
        <w:t xml:space="preserve"> increase reflect protein-ligand interaction (</w:t>
      </w:r>
      <w:r>
        <w:rPr>
          <w:rFonts w:ascii="Times New Roman" w:hAnsi="Times New Roman" w:cs="Times New Roman"/>
          <w:color w:val="000000"/>
          <w:sz w:val="22"/>
          <w:szCs w:val="22"/>
        </w:rPr>
        <w:t>14</w:t>
      </w:r>
      <w:r w:rsidRPr="0077142C">
        <w:rPr>
          <w:rFonts w:ascii="Times New Roman" w:hAnsi="Times New Roman" w:cs="Times New Roman"/>
          <w:color w:val="000000"/>
          <w:sz w:val="22"/>
          <w:szCs w:val="22"/>
        </w:rPr>
        <w:t xml:space="preserve">). Our preliminary data suggest WT </w:t>
      </w:r>
      <w:r w:rsidRPr="0077142C">
        <w:rPr>
          <w:rFonts w:ascii="Times New Roman" w:hAnsi="Times New Roman" w:cs="Times New Roman"/>
          <w:i/>
          <w:iCs/>
          <w:color w:val="000000"/>
          <w:sz w:val="22"/>
          <w:szCs w:val="22"/>
        </w:rPr>
        <w:t>Sc</w:t>
      </w:r>
      <w:r w:rsidRPr="0077142C">
        <w:rPr>
          <w:rFonts w:ascii="Times New Roman" w:hAnsi="Times New Roman" w:cs="Times New Roman"/>
          <w:color w:val="000000"/>
          <w:sz w:val="22"/>
          <w:szCs w:val="22"/>
        </w:rPr>
        <w:t xml:space="preserve">NreA may bind nitrate as well as chloride (with weaker affinity than nitrate) (Figure 3). Chloride shows a significant stabilization effect on </w:t>
      </w:r>
      <w:r w:rsidRPr="0077142C">
        <w:rPr>
          <w:rFonts w:ascii="Times New Roman" w:hAnsi="Times New Roman" w:cs="Times New Roman"/>
          <w:i/>
          <w:iCs/>
          <w:color w:val="000000"/>
          <w:sz w:val="22"/>
          <w:szCs w:val="22"/>
        </w:rPr>
        <w:t>Sc</w:t>
      </w:r>
      <w:r w:rsidRPr="0077142C">
        <w:rPr>
          <w:rFonts w:ascii="Times New Roman" w:hAnsi="Times New Roman" w:cs="Times New Roman"/>
          <w:color w:val="000000"/>
          <w:sz w:val="22"/>
          <w:szCs w:val="22"/>
        </w:rPr>
        <w:t xml:space="preserve">NreA in the 1 to 200 mM and not in 1 to 800 μM range. This agrees with our hypothesis that compared to nitrate, chloride could be a weaker ligand to </w:t>
      </w:r>
      <w:r w:rsidRPr="0077142C">
        <w:rPr>
          <w:rFonts w:ascii="Times New Roman" w:hAnsi="Times New Roman" w:cs="Times New Roman"/>
          <w:i/>
          <w:iCs/>
          <w:color w:val="000000"/>
          <w:sz w:val="22"/>
          <w:szCs w:val="22"/>
        </w:rPr>
        <w:t>Sc</w:t>
      </w:r>
      <w:r w:rsidRPr="0077142C">
        <w:rPr>
          <w:rFonts w:ascii="Times New Roman" w:hAnsi="Times New Roman" w:cs="Times New Roman"/>
          <w:color w:val="000000"/>
          <w:sz w:val="22"/>
          <w:szCs w:val="22"/>
        </w:rPr>
        <w:t xml:space="preserve">NreA. </w:t>
      </w:r>
    </w:p>
    <w:p w14:paraId="73B2494D" w14:textId="21A19FEC" w:rsidR="0077142C" w:rsidRPr="0077142C" w:rsidRDefault="0077142C" w:rsidP="0077142C">
      <w:pPr>
        <w:autoSpaceDE w:val="0"/>
        <w:autoSpaceDN w:val="0"/>
        <w:adjustRightInd w:val="0"/>
        <w:rPr>
          <w:rFonts w:ascii="Times New Roman" w:hAnsi="Times New Roman" w:cs="Times New Roman"/>
          <w:color w:val="000000"/>
          <w:sz w:val="22"/>
          <w:szCs w:val="22"/>
        </w:rPr>
      </w:pPr>
    </w:p>
    <w:p w14:paraId="2ECD0C46" w14:textId="5080F268" w:rsidR="0077142C" w:rsidRDefault="0077142C" w:rsidP="0077142C">
      <w:pPr>
        <w:autoSpaceDE w:val="0"/>
        <w:autoSpaceDN w:val="0"/>
        <w:adjustRightInd w:val="0"/>
        <w:rPr>
          <w:rFonts w:ascii="Times New Roman" w:hAnsi="Times New Roman" w:cs="Times New Roman"/>
          <w:color w:val="000000"/>
          <w:sz w:val="22"/>
          <w:szCs w:val="22"/>
        </w:rPr>
      </w:pPr>
      <w:r w:rsidRPr="0077142C">
        <w:rPr>
          <w:rFonts w:ascii="Times New Roman" w:hAnsi="Times New Roman" w:cs="Times New Roman"/>
          <w:noProof/>
          <w:color w:val="000000"/>
          <w:sz w:val="22"/>
          <w:szCs w:val="22"/>
        </w:rPr>
        <w:drawing>
          <wp:anchor distT="0" distB="0" distL="114300" distR="114300" simplePos="0" relativeHeight="251659264" behindDoc="0" locked="0" layoutInCell="1" allowOverlap="1" wp14:anchorId="029CA2A7" wp14:editId="3EB852CD">
            <wp:simplePos x="0" y="0"/>
            <wp:positionH relativeFrom="column">
              <wp:posOffset>1186180</wp:posOffset>
            </wp:positionH>
            <wp:positionV relativeFrom="paragraph">
              <wp:posOffset>355176</wp:posOffset>
            </wp:positionV>
            <wp:extent cx="4681941" cy="2201334"/>
            <wp:effectExtent l="0" t="0" r="4445"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4681941" cy="2201334"/>
                    </a:xfrm>
                    <a:prstGeom prst="rect">
                      <a:avLst/>
                    </a:prstGeom>
                  </pic:spPr>
                </pic:pic>
              </a:graphicData>
            </a:graphic>
            <wp14:sizeRelH relativeFrom="page">
              <wp14:pctWidth>0</wp14:pctWidth>
            </wp14:sizeRelH>
            <wp14:sizeRelV relativeFrom="page">
              <wp14:pctHeight>0</wp14:pctHeight>
            </wp14:sizeRelV>
          </wp:anchor>
        </w:drawing>
      </w:r>
      <w:r w:rsidRPr="0077142C">
        <w:rPr>
          <w:rFonts w:ascii="Times New Roman" w:hAnsi="Times New Roman" w:cs="Times New Roman"/>
          <w:color w:val="000000"/>
          <w:sz w:val="22"/>
          <w:szCs w:val="22"/>
        </w:rPr>
        <w:t xml:space="preserve">With this promising result, we aim to continue anions screening, such as nitrite, bromide, and iodide, based on their similarities in physical and chemical properties, Hofmeister effects and even biological significance. As a negative control, anions such as phosphate, sulfate and gluconate that do not bind will be used. Once the anion screening is completed, other experimental conditions, such as different cations and pH will be tested to confirm the </w:t>
      </w:r>
      <w:r w:rsidRPr="0077142C">
        <w:rPr>
          <w:rFonts w:ascii="Times New Roman" w:hAnsi="Times New Roman" w:cs="Times New Roman"/>
          <w:i/>
          <w:iCs/>
          <w:color w:val="000000"/>
          <w:sz w:val="22"/>
          <w:szCs w:val="22"/>
        </w:rPr>
        <w:t>T</w:t>
      </w:r>
      <w:r w:rsidRPr="0077142C">
        <w:rPr>
          <w:rFonts w:ascii="Times New Roman" w:hAnsi="Times New Roman" w:cs="Times New Roman"/>
          <w:color w:val="000000"/>
          <w:sz w:val="22"/>
          <w:szCs w:val="22"/>
          <w:vertAlign w:val="subscript"/>
        </w:rPr>
        <w:t>m</w:t>
      </w:r>
      <w:r w:rsidRPr="0077142C">
        <w:rPr>
          <w:rFonts w:ascii="Times New Roman" w:hAnsi="Times New Roman" w:cs="Times New Roman"/>
          <w:color w:val="000000"/>
          <w:sz w:val="22"/>
          <w:szCs w:val="22"/>
        </w:rPr>
        <w:t xml:space="preserve"> increase is actually due to the ligand binding. If all anions display the same degree of </w:t>
      </w:r>
      <w:r w:rsidRPr="0077142C">
        <w:rPr>
          <w:rFonts w:ascii="Times New Roman" w:hAnsi="Times New Roman" w:cs="Times New Roman"/>
          <w:i/>
          <w:iCs/>
          <w:color w:val="000000"/>
          <w:sz w:val="22"/>
          <w:szCs w:val="22"/>
        </w:rPr>
        <w:t>T</w:t>
      </w:r>
      <w:r w:rsidRPr="0077142C">
        <w:rPr>
          <w:rFonts w:ascii="Times New Roman" w:hAnsi="Times New Roman" w:cs="Times New Roman"/>
          <w:color w:val="000000"/>
          <w:sz w:val="22"/>
          <w:szCs w:val="22"/>
          <w:vertAlign w:val="subscript"/>
        </w:rPr>
        <w:t>m</w:t>
      </w:r>
      <w:r w:rsidRPr="0077142C">
        <w:rPr>
          <w:rFonts w:ascii="Times New Roman" w:hAnsi="Times New Roman" w:cs="Times New Roman"/>
          <w:color w:val="000000"/>
          <w:sz w:val="22"/>
          <w:szCs w:val="22"/>
        </w:rPr>
        <w:t xml:space="preserve"> increase, other methods such as isothermal titration calorimetry and equilibrium dialysis will be used to further confirm the binding event as well as providing quantitive information.</w:t>
      </w:r>
      <w:r>
        <w:rPr>
          <w:rFonts w:ascii="Times New Roman" w:hAnsi="Times New Roman" w:cs="Times New Roman"/>
          <w:color w:val="000000"/>
          <w:sz w:val="22"/>
          <w:szCs w:val="22"/>
        </w:rPr>
        <w:t xml:space="preserve">   </w:t>
      </w:r>
    </w:p>
    <w:p w14:paraId="0B5CB239" w14:textId="77777777" w:rsidR="0077142C" w:rsidRDefault="0077142C" w:rsidP="0077142C">
      <w:pPr>
        <w:autoSpaceDE w:val="0"/>
        <w:autoSpaceDN w:val="0"/>
        <w:adjustRightInd w:val="0"/>
        <w:rPr>
          <w:rFonts w:ascii="Times New Roman" w:hAnsi="Times New Roman" w:cs="Times New Roman"/>
          <w:color w:val="000000"/>
          <w:sz w:val="22"/>
          <w:szCs w:val="22"/>
        </w:rPr>
      </w:pPr>
    </w:p>
    <w:p w14:paraId="7E2DF18C" w14:textId="404D5019" w:rsidR="0077142C"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b/>
          <w:bCs/>
          <w:color w:val="000000"/>
          <w:sz w:val="22"/>
          <w:szCs w:val="22"/>
        </w:rPr>
        <w:t>Aim 2: Introduction of fluorescent proteins in chloride sensor designs and the potential optimization methods</w:t>
      </w:r>
    </w:p>
    <w:p w14:paraId="43987495" w14:textId="77777777" w:rsidR="0077142C" w:rsidRDefault="0077142C" w:rsidP="0077142C">
      <w:pPr>
        <w:autoSpaceDE w:val="0"/>
        <w:autoSpaceDN w:val="0"/>
        <w:adjustRightInd w:val="0"/>
        <w:rPr>
          <w:rFonts w:ascii="Times New Roman" w:hAnsi="Times New Roman" w:cs="Times New Roman"/>
          <w:color w:val="000000"/>
          <w:sz w:val="22"/>
          <w:szCs w:val="22"/>
        </w:rPr>
      </w:pPr>
    </w:p>
    <w:p w14:paraId="4ABD412F" w14:textId="7106AFD0" w:rsidR="0077142C"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t xml:space="preserve">In this aim, as a continuation of aim 1, we will </w:t>
      </w:r>
      <w:proofErr w:type="gramStart"/>
      <w:r>
        <w:rPr>
          <w:rFonts w:ascii="Times New Roman" w:hAnsi="Times New Roman" w:cs="Times New Roman"/>
          <w:color w:val="000000"/>
          <w:sz w:val="22"/>
          <w:szCs w:val="22"/>
        </w:rPr>
        <w:t>fused</w:t>
      </w:r>
      <w:proofErr w:type="gramEnd"/>
      <w:r>
        <w:rPr>
          <w:rFonts w:ascii="Times New Roman" w:hAnsi="Times New Roman" w:cs="Times New Roman"/>
          <w:color w:val="000000"/>
          <w:sz w:val="22"/>
          <w:szCs w:val="22"/>
        </w:rPr>
        <w:t xml:space="preserve"> one fluorescent protein, which serves as the optical output, with a chloride sensing domain and forms the new chloride sensor and optimizes the whole scaffold to suit our future </w:t>
      </w:r>
      <w:r>
        <w:rPr>
          <w:rFonts w:ascii="Times New Roman" w:hAnsi="Times New Roman" w:cs="Times New Roman"/>
          <w:i/>
          <w:iCs/>
          <w:color w:val="000000"/>
          <w:sz w:val="22"/>
          <w:szCs w:val="22"/>
        </w:rPr>
        <w:t>in vivo</w:t>
      </w:r>
      <w:r>
        <w:rPr>
          <w:rFonts w:ascii="Times New Roman" w:hAnsi="Times New Roman" w:cs="Times New Roman"/>
          <w:color w:val="000000"/>
          <w:sz w:val="22"/>
          <w:szCs w:val="22"/>
        </w:rPr>
        <w:t xml:space="preserve"> applications. Based on our preliminary results, two potential sensor designs will be tested in parallel: mNG_</w:t>
      </w:r>
      <w:r>
        <w:rPr>
          <w:rFonts w:ascii="Times New Roman" w:hAnsi="Times New Roman" w:cs="Times New Roman"/>
          <w:i/>
          <w:iCs/>
          <w:color w:val="000000"/>
          <w:sz w:val="22"/>
          <w:szCs w:val="22"/>
        </w:rPr>
        <w:t>Sc</w:t>
      </w:r>
      <w:r>
        <w:rPr>
          <w:rFonts w:ascii="Times New Roman" w:hAnsi="Times New Roman" w:cs="Times New Roman"/>
          <w:color w:val="000000"/>
          <w:sz w:val="22"/>
          <w:szCs w:val="22"/>
        </w:rPr>
        <w:t>NreA and cpEGFP_</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(Figure 4A and 4B). The first design combines intact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with mNeonGreen, a fluorescent protein found in </w:t>
      </w:r>
      <w:r>
        <w:rPr>
          <w:rFonts w:ascii="Times New Roman" w:hAnsi="Times New Roman" w:cs="Times New Roman"/>
          <w:i/>
          <w:iCs/>
          <w:color w:val="000000"/>
          <w:sz w:val="22"/>
          <w:szCs w:val="22"/>
        </w:rPr>
        <w:t>Branchiostoma lanceolatum</w:t>
      </w:r>
      <w:r>
        <w:rPr>
          <w:rFonts w:ascii="Times New Roman" w:hAnsi="Times New Roman" w:cs="Times New Roman"/>
          <w:color w:val="000000"/>
          <w:sz w:val="22"/>
          <w:szCs w:val="22"/>
        </w:rPr>
        <w:t>, and the insertion site follows recently published Ca</w:t>
      </w:r>
      <w:r>
        <w:rPr>
          <w:rFonts w:ascii="Times New Roman" w:hAnsi="Times New Roman" w:cs="Times New Roman"/>
          <w:color w:val="000000"/>
          <w:sz w:val="14"/>
          <w:szCs w:val="14"/>
          <w:vertAlign w:val="superscript"/>
        </w:rPr>
        <w:t>2+</w:t>
      </w:r>
      <w:r>
        <w:rPr>
          <w:rFonts w:ascii="Times New Roman" w:hAnsi="Times New Roman" w:cs="Times New Roman"/>
          <w:color w:val="000000"/>
          <w:sz w:val="22"/>
          <w:szCs w:val="22"/>
        </w:rPr>
        <w:t xml:space="preserve"> sensor mNG-GECO1 (3, 15). It is proved that inserting Ca</w:t>
      </w:r>
      <w:r>
        <w:rPr>
          <w:rFonts w:ascii="Times New Roman" w:hAnsi="Times New Roman" w:cs="Times New Roman"/>
          <w:color w:val="000000"/>
          <w:sz w:val="14"/>
          <w:szCs w:val="14"/>
          <w:vertAlign w:val="superscript"/>
        </w:rPr>
        <w:t>2+</w:t>
      </w:r>
      <w:r>
        <w:rPr>
          <w:rFonts w:ascii="Times New Roman" w:hAnsi="Times New Roman" w:cs="Times New Roman"/>
          <w:color w:val="000000"/>
          <w:sz w:val="22"/>
          <w:szCs w:val="22"/>
        </w:rPr>
        <w:t xml:space="preserve"> responsive domains into the space between 136 and 139 in mNeonGreen grant the sensor comparable performances as demonstrated in GCaMP6, a Ca</w:t>
      </w:r>
      <w:r>
        <w:rPr>
          <w:rFonts w:ascii="Times New Roman" w:hAnsi="Times New Roman" w:cs="Times New Roman"/>
          <w:color w:val="000000"/>
          <w:sz w:val="14"/>
          <w:szCs w:val="14"/>
          <w:vertAlign w:val="superscript"/>
        </w:rPr>
        <w:t xml:space="preserve">2+ </w:t>
      </w:r>
      <w:r>
        <w:rPr>
          <w:rFonts w:ascii="Times New Roman" w:hAnsi="Times New Roman" w:cs="Times New Roman"/>
          <w:color w:val="000000"/>
          <w:sz w:val="22"/>
          <w:szCs w:val="22"/>
        </w:rPr>
        <w:t xml:space="preserve">sensor that had been developed for many years (16). This design has two important advantageousness that splitting mNeonGreen has been confirmed to function in a normal way by other research </w:t>
      </w:r>
      <w:proofErr w:type="gramStart"/>
      <w:r>
        <w:rPr>
          <w:rFonts w:ascii="Times New Roman" w:hAnsi="Times New Roman" w:cs="Times New Roman"/>
          <w:color w:val="000000"/>
          <w:sz w:val="22"/>
          <w:szCs w:val="22"/>
        </w:rPr>
        <w:t>groups, and</w:t>
      </w:r>
      <w:proofErr w:type="gramEnd"/>
      <w:r>
        <w:rPr>
          <w:rFonts w:ascii="Times New Roman" w:hAnsi="Times New Roman" w:cs="Times New Roman"/>
          <w:color w:val="000000"/>
          <w:sz w:val="22"/>
          <w:szCs w:val="22"/>
        </w:rPr>
        <w:t xml:space="preserve"> keeping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intact will allow it to fold properly (18). One potential drawback of this platform is that the conformational changes </w:t>
      </w:r>
      <w:r>
        <w:rPr>
          <w:rFonts w:ascii="Times New Roman" w:hAnsi="Times New Roman" w:cs="Times New Roman"/>
          <w:color w:val="000000"/>
          <w:sz w:val="22"/>
          <w:szCs w:val="22"/>
        </w:rPr>
        <w:lastRenderedPageBreak/>
        <w:t xml:space="preserve">speculated in </w:t>
      </w:r>
      <w:r>
        <w:rPr>
          <w:rFonts w:ascii="Times New Roman" w:hAnsi="Times New Roman" w:cs="Times New Roman"/>
          <w:i/>
          <w:iCs/>
          <w:color w:val="000000"/>
          <w:sz w:val="22"/>
          <w:szCs w:val="22"/>
        </w:rPr>
        <w:t>C</w:t>
      </w:r>
      <w:r>
        <w:rPr>
          <w:rFonts w:ascii="Times New Roman" w:hAnsi="Times New Roman" w:cs="Times New Roman"/>
          <w:color w:val="000000"/>
          <w:sz w:val="22"/>
          <w:szCs w:val="22"/>
        </w:rPr>
        <w:t xml:space="preserve">-terminal region may not be large enough to translated to mNeonGreen and results in a fluorescent signal change. </w:t>
      </w:r>
    </w:p>
    <w:p w14:paraId="2893AB83" w14:textId="275A368F" w:rsidR="008E3FB6" w:rsidRDefault="008E3FB6" w:rsidP="0077142C">
      <w:pPr>
        <w:autoSpaceDE w:val="0"/>
        <w:autoSpaceDN w:val="0"/>
        <w:adjustRightInd w:val="0"/>
        <w:rPr>
          <w:rFonts w:ascii="Times New Roman" w:hAnsi="Times New Roman" w:cs="Times New Roman"/>
          <w:color w:val="000000"/>
          <w:sz w:val="22"/>
          <w:szCs w:val="22"/>
        </w:rPr>
      </w:pPr>
      <w:r w:rsidRPr="008E3FB6">
        <w:rPr>
          <w:rFonts w:ascii="Times New Roman" w:hAnsi="Times New Roman" w:cs="Times New Roman"/>
          <w:noProof/>
          <w:color w:val="000000"/>
          <w:sz w:val="22"/>
          <w:szCs w:val="22"/>
        </w:rPr>
        <w:drawing>
          <wp:inline distT="0" distB="0" distL="0" distR="0" wp14:anchorId="4AEBC592" wp14:editId="20756E19">
            <wp:extent cx="5943600" cy="19812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1981200"/>
                    </a:xfrm>
                    <a:prstGeom prst="rect">
                      <a:avLst/>
                    </a:prstGeom>
                  </pic:spPr>
                </pic:pic>
              </a:graphicData>
            </a:graphic>
          </wp:inline>
        </w:drawing>
      </w:r>
    </w:p>
    <w:p w14:paraId="597A85BC" w14:textId="77777777" w:rsidR="0077142C"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t xml:space="preserve">The second design is to fuse cpEGFP, a circular-permutated enhanced green fluorescent protein, with </w:t>
      </w:r>
      <w:r>
        <w:rPr>
          <w:rFonts w:ascii="Times New Roman" w:hAnsi="Times New Roman" w:cs="Times New Roman"/>
          <w:i/>
          <w:iCs/>
          <w:color w:val="000000"/>
          <w:sz w:val="22"/>
          <w:szCs w:val="22"/>
        </w:rPr>
        <w:t>Sc</w:t>
      </w:r>
      <w:r>
        <w:rPr>
          <w:rFonts w:ascii="Times New Roman" w:hAnsi="Times New Roman" w:cs="Times New Roman"/>
          <w:color w:val="000000"/>
          <w:sz w:val="22"/>
          <w:szCs w:val="22"/>
        </w:rPr>
        <w:t>NreA. cpEGFP is one of the major proteins applied as the fluorescent output domain ever since it was incorporated into the first generation Ca</w:t>
      </w:r>
      <w:r>
        <w:rPr>
          <w:rFonts w:ascii="Times New Roman" w:hAnsi="Times New Roman" w:cs="Times New Roman"/>
          <w:color w:val="000000"/>
          <w:sz w:val="14"/>
          <w:szCs w:val="14"/>
          <w:vertAlign w:val="superscript"/>
        </w:rPr>
        <w:t xml:space="preserve">2+ </w:t>
      </w:r>
      <w:r>
        <w:rPr>
          <w:rFonts w:ascii="Times New Roman" w:hAnsi="Times New Roman" w:cs="Times New Roman"/>
          <w:color w:val="000000"/>
          <w:sz w:val="22"/>
          <w:szCs w:val="22"/>
        </w:rPr>
        <w:t xml:space="preserve">sensor (2, 21). Its rearranged secondary structures allowed many scientists to utilized this new conformation that cause its fluorophore to response any subtle change in the local environment and thus we decide to put the latest cpEGFP found in GCaMP6 series next to the binding site in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so that any small motions in conformation change upon binding can be reflected via fluorescent output (Figure 4B). In order to locate the suitable insertion sites, molecular dynamic (MD) simulations were carried out in the absence of nitrate so that a pseudo apo form of </w:t>
      </w:r>
      <w:r>
        <w:rPr>
          <w:rFonts w:ascii="Times New Roman" w:hAnsi="Times New Roman" w:cs="Times New Roman"/>
          <w:i/>
          <w:iCs/>
          <w:color w:val="000000"/>
          <w:sz w:val="22"/>
          <w:szCs w:val="22"/>
        </w:rPr>
        <w:t>Sc</w:t>
      </w:r>
      <w:r>
        <w:rPr>
          <w:rFonts w:ascii="Times New Roman" w:hAnsi="Times New Roman" w:cs="Times New Roman"/>
          <w:color w:val="000000"/>
          <w:sz w:val="22"/>
          <w:szCs w:val="22"/>
        </w:rPr>
        <w:t>NreA can be generated and serves as a template for further structural analysis. Therefore, align apo_</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with </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in every frame in the trajectory atom-to-atom reveals </w:t>
      </w:r>
      <w:proofErr w:type="gramStart"/>
      <w:r>
        <w:rPr>
          <w:rFonts w:ascii="Times New Roman" w:hAnsi="Times New Roman" w:cs="Times New Roman"/>
          <w:color w:val="000000"/>
          <w:sz w:val="22"/>
          <w:szCs w:val="22"/>
        </w:rPr>
        <w:t>the some</w:t>
      </w:r>
      <w:proofErr w:type="gramEnd"/>
      <w:r>
        <w:rPr>
          <w:rFonts w:ascii="Times New Roman" w:hAnsi="Times New Roman" w:cs="Times New Roman"/>
          <w:color w:val="000000"/>
          <w:sz w:val="22"/>
          <w:szCs w:val="22"/>
        </w:rPr>
        <w:t xml:space="preserve"> features in protein conformation change upon binding a ligand. According to Figurer 4C, the blue regions shows that in a given frame, </w:t>
      </w:r>
      <w:r>
        <w:rPr>
          <w:rFonts w:ascii="Times New Roman" w:hAnsi="Times New Roman" w:cs="Times New Roman"/>
          <w:i/>
          <w:iCs/>
          <w:color w:val="000000"/>
          <w:sz w:val="22"/>
          <w:szCs w:val="22"/>
        </w:rPr>
        <w:t>Sc</w:t>
      </w:r>
      <w:r>
        <w:rPr>
          <w:rFonts w:ascii="Times New Roman" w:hAnsi="Times New Roman" w:cs="Times New Roman"/>
          <w:color w:val="000000"/>
          <w:sz w:val="22"/>
          <w:szCs w:val="22"/>
        </w:rPr>
        <w:t>NreA is at least 5 Å away from apo_</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 and most of the blue regions are found in a loop area which is natural more flexible than other secondary structures. But few sites’ movements (Black arrows in Figurer 4C) can be considered as related to the actual ligand binding event. </w:t>
      </w:r>
      <w:proofErr w:type="gramStart"/>
      <w:r>
        <w:rPr>
          <w:rFonts w:ascii="Times New Roman" w:hAnsi="Times New Roman" w:cs="Times New Roman"/>
          <w:color w:val="000000"/>
          <w:sz w:val="22"/>
          <w:szCs w:val="22"/>
        </w:rPr>
        <w:t>Therefore</w:t>
      </w:r>
      <w:proofErr w:type="gramEnd"/>
      <w:r>
        <w:rPr>
          <w:rFonts w:ascii="Times New Roman" w:hAnsi="Times New Roman" w:cs="Times New Roman"/>
          <w:color w:val="000000"/>
          <w:sz w:val="22"/>
          <w:szCs w:val="22"/>
        </w:rPr>
        <w:t xml:space="preserve"> all of these sites are the potential insertion sites for cpEGFP_</w:t>
      </w:r>
      <w:r>
        <w:rPr>
          <w:rFonts w:ascii="Times New Roman" w:hAnsi="Times New Roman" w:cs="Times New Roman"/>
          <w:i/>
          <w:iCs/>
          <w:color w:val="000000"/>
          <w:sz w:val="22"/>
          <w:szCs w:val="22"/>
        </w:rPr>
        <w:t>Sc</w:t>
      </w:r>
      <w:r>
        <w:rPr>
          <w:rFonts w:ascii="Times New Roman" w:hAnsi="Times New Roman" w:cs="Times New Roman"/>
          <w:color w:val="000000"/>
          <w:sz w:val="22"/>
          <w:szCs w:val="22"/>
        </w:rPr>
        <w:t>NreA fusion.</w:t>
      </w:r>
    </w:p>
    <w:p w14:paraId="4C695915" w14:textId="77777777" w:rsidR="0077142C" w:rsidRDefault="0077142C" w:rsidP="0077142C">
      <w:pPr>
        <w:autoSpaceDE w:val="0"/>
        <w:autoSpaceDN w:val="0"/>
        <w:adjustRightInd w:val="0"/>
        <w:rPr>
          <w:rFonts w:ascii="Times New Roman" w:hAnsi="Times New Roman" w:cs="Times New Roman"/>
          <w:color w:val="000000"/>
          <w:sz w:val="22"/>
          <w:szCs w:val="22"/>
        </w:rPr>
      </w:pPr>
    </w:p>
    <w:p w14:paraId="008B6807" w14:textId="4F185D3A" w:rsidR="0077142C"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t>In order to validate our design, the initial mNG_</w:t>
      </w:r>
      <w:r>
        <w:rPr>
          <w:rFonts w:ascii="Times New Roman" w:hAnsi="Times New Roman" w:cs="Times New Roman"/>
          <w:i/>
          <w:iCs/>
          <w:color w:val="000000"/>
          <w:sz w:val="22"/>
          <w:szCs w:val="22"/>
        </w:rPr>
        <w:t>Sc</w:t>
      </w:r>
      <w:r>
        <w:rPr>
          <w:rFonts w:ascii="Times New Roman" w:hAnsi="Times New Roman" w:cs="Times New Roman"/>
          <w:color w:val="000000"/>
          <w:sz w:val="22"/>
          <w:szCs w:val="22"/>
        </w:rPr>
        <w:t>NreA and cpEGFP_</w:t>
      </w:r>
      <w:r>
        <w:rPr>
          <w:rFonts w:ascii="Times New Roman" w:hAnsi="Times New Roman" w:cs="Times New Roman"/>
          <w:i/>
          <w:iCs/>
          <w:color w:val="000000"/>
          <w:sz w:val="22"/>
          <w:szCs w:val="22"/>
        </w:rPr>
        <w:t>Sc</w:t>
      </w:r>
      <w:r>
        <w:rPr>
          <w:rFonts w:ascii="Times New Roman" w:hAnsi="Times New Roman" w:cs="Times New Roman"/>
          <w:color w:val="000000"/>
          <w:sz w:val="22"/>
          <w:szCs w:val="22"/>
        </w:rPr>
        <w:t>NreA plasmids will be purchased</w:t>
      </w:r>
      <w:r w:rsidR="008E3FB6">
        <w:rPr>
          <w:rFonts w:ascii="Times New Roman" w:hAnsi="Times New Roman" w:cs="Times New Roman"/>
          <w:color w:val="000000"/>
          <w:sz w:val="22"/>
          <w:szCs w:val="22"/>
        </w:rPr>
        <w:t>,</w:t>
      </w:r>
      <w:r>
        <w:rPr>
          <w:rFonts w:ascii="Times New Roman" w:hAnsi="Times New Roman" w:cs="Times New Roman"/>
          <w:color w:val="000000"/>
          <w:sz w:val="22"/>
          <w:szCs w:val="22"/>
        </w:rPr>
        <w:t xml:space="preserve"> expressed, and purified using the methods mentioned in aim 1. Then pure mNG_</w:t>
      </w:r>
      <w:r>
        <w:rPr>
          <w:rFonts w:ascii="Times New Roman" w:hAnsi="Times New Roman" w:cs="Times New Roman"/>
          <w:i/>
          <w:iCs/>
          <w:color w:val="000000"/>
          <w:sz w:val="22"/>
          <w:szCs w:val="22"/>
        </w:rPr>
        <w:t>Sc</w:t>
      </w:r>
      <w:r>
        <w:rPr>
          <w:rFonts w:ascii="Times New Roman" w:hAnsi="Times New Roman" w:cs="Times New Roman"/>
          <w:color w:val="000000"/>
          <w:sz w:val="22"/>
          <w:szCs w:val="22"/>
        </w:rPr>
        <w:t>NreA’s (or cpEGFP_</w:t>
      </w:r>
      <w:r>
        <w:rPr>
          <w:rFonts w:ascii="Times New Roman" w:hAnsi="Times New Roman" w:cs="Times New Roman"/>
          <w:i/>
          <w:iCs/>
          <w:color w:val="000000"/>
          <w:sz w:val="22"/>
          <w:szCs w:val="22"/>
        </w:rPr>
        <w:t>Sc</w:t>
      </w:r>
      <w:r>
        <w:rPr>
          <w:rFonts w:ascii="Times New Roman" w:hAnsi="Times New Roman" w:cs="Times New Roman"/>
          <w:color w:val="000000"/>
          <w:sz w:val="22"/>
          <w:szCs w:val="22"/>
        </w:rPr>
        <w:t xml:space="preserve">NreA’s) spectroscopic properties, such as absorbance, excitation/emission wavelength, can be determined via spectrophotometer so that a baseline activity of this chloride sensor can be established. If the spectroscopic data agrees with previous studies in literatures, chloride titration in fixed pH and ionic strength will be performed in a plate reader to increase the throughput and screen a broad range chloride concentration and other experimental factors, such as buffers, pH and cationic effect. </w:t>
      </w:r>
    </w:p>
    <w:p w14:paraId="7F228F82" w14:textId="6EC26B1E" w:rsidR="0077142C" w:rsidRDefault="008E3FB6" w:rsidP="0077142C">
      <w:pPr>
        <w:autoSpaceDE w:val="0"/>
        <w:autoSpaceDN w:val="0"/>
        <w:adjustRightInd w:val="0"/>
        <w:rPr>
          <w:rFonts w:ascii="Times New Roman" w:hAnsi="Times New Roman" w:cs="Times New Roman"/>
          <w:color w:val="000000"/>
          <w:sz w:val="22"/>
          <w:szCs w:val="22"/>
        </w:rPr>
      </w:pPr>
      <w:r w:rsidRPr="008E3FB6">
        <w:rPr>
          <w:rFonts w:ascii="Times New Roman" w:hAnsi="Times New Roman" w:cs="Times New Roman"/>
          <w:noProof/>
          <w:color w:val="000000"/>
          <w:sz w:val="22"/>
          <w:szCs w:val="22"/>
        </w:rPr>
        <w:lastRenderedPageBreak/>
        <w:drawing>
          <wp:inline distT="0" distB="0" distL="0" distR="0" wp14:anchorId="33945FAD" wp14:editId="39C342AD">
            <wp:extent cx="5943600" cy="2590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590800"/>
                    </a:xfrm>
                    <a:prstGeom prst="rect">
                      <a:avLst/>
                    </a:prstGeom>
                  </pic:spPr>
                </pic:pic>
              </a:graphicData>
            </a:graphic>
          </wp:inline>
        </w:drawing>
      </w:r>
    </w:p>
    <w:p w14:paraId="6BE86C8E" w14:textId="77777777" w:rsidR="0077142C"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t>As long as one of the chloride sensors can be successfully expressed and characterized, the last step of this aim is to optimize the current design using directed evolution methods, including polymerase chain reaction (PCR) and error-prone PCR methods (Figure 5). Firstly, PCR can be used to generate a site-saturation mutagenesis libraries that the target site is rationally selected. This is normally done in linker region for other protein-based sensor to prevent any steric hindrances and increase/decrease the flexibility of the conjunction sites of two proteins (22). Forward primers that is 37 bases long containing the degenerate base triplet NDT, VHG, and TGG, and the reverse primer that has 18 bases overlapping with the forward primer will be used to construct a library of variants (23). After the template removal, the PCR product will be separated with agarose gel electrophoresis, extracted, and purified, and recircularized by Gibson assembly protocols (23). The library generated from the last step can be transformed and selected according to the protocols mentioned in aim 1 and expressed in 96-deep-well plate in liquid media. Eventually all the variants can be screened via microtitre plate readers since cpEGFP and mNeonGreen serves as reporters for baseline spectroscopic properties improvement and thus large scale protein expression will be performed to confirm the results and fully reevaluate its chloride sensing ability which can also be tested via traditional biophysical methods, such as ITC and Microscale Thermophoresis (24-26). Secondly, error-prone PCR, as a modification of standard PCR method, aims to increase the natural error rate of a polymerase so it can be used to generate random mutations on any location of the gene because extra non-complementary pairs can be stabilized in the presence of MgCl</w:t>
      </w:r>
      <w:r>
        <w:rPr>
          <w:rFonts w:ascii="Times New Roman" w:hAnsi="Times New Roman" w:cs="Times New Roman"/>
          <w:color w:val="000000"/>
          <w:sz w:val="14"/>
          <w:szCs w:val="14"/>
          <w:vertAlign w:val="subscript"/>
        </w:rPr>
        <w:t xml:space="preserve">2 </w:t>
      </w:r>
      <w:r>
        <w:rPr>
          <w:rFonts w:ascii="Times New Roman" w:hAnsi="Times New Roman" w:cs="Times New Roman"/>
          <w:color w:val="000000"/>
          <w:sz w:val="22"/>
          <w:szCs w:val="22"/>
        </w:rPr>
        <w:t xml:space="preserve">(27). The screening method will follow the same protocol above. Finally, one downside of error-prone PCR is that random mutagenesis only happens in nucleotide levels which normally do not sample even amino acids at a given site (24). One possible solution is to combine error-prone PCR with site-saturate mutagenesis, for example, promising variants after error-prone PCR can be treated as the genotype and a subset of mutagenesis library can be generated at the site of mutation.  </w:t>
      </w:r>
    </w:p>
    <w:p w14:paraId="4E997268" w14:textId="77777777" w:rsidR="0077142C" w:rsidRDefault="0077142C" w:rsidP="0077142C">
      <w:pPr>
        <w:autoSpaceDE w:val="0"/>
        <w:autoSpaceDN w:val="0"/>
        <w:adjustRightInd w:val="0"/>
        <w:rPr>
          <w:rFonts w:ascii="Times New Roman" w:hAnsi="Times New Roman" w:cs="Times New Roman"/>
          <w:b/>
          <w:bCs/>
          <w:color w:val="000000"/>
          <w:sz w:val="22"/>
          <w:szCs w:val="22"/>
        </w:rPr>
      </w:pPr>
    </w:p>
    <w:p w14:paraId="6FC6CC21" w14:textId="77777777" w:rsidR="0077142C" w:rsidRDefault="0077142C" w:rsidP="0077142C">
      <w:pPr>
        <w:autoSpaceDE w:val="0"/>
        <w:autoSpaceDN w:val="0"/>
        <w:adjustRightInd w:val="0"/>
        <w:rPr>
          <w:rFonts w:ascii="Times New Roman" w:hAnsi="Times New Roman" w:cs="Times New Roman"/>
          <w:b/>
          <w:bCs/>
          <w:color w:val="000000"/>
          <w:sz w:val="22"/>
          <w:szCs w:val="22"/>
        </w:rPr>
      </w:pPr>
      <w:r>
        <w:rPr>
          <w:rFonts w:ascii="Times New Roman" w:hAnsi="Times New Roman" w:cs="Times New Roman"/>
          <w:b/>
          <w:bCs/>
          <w:color w:val="000000"/>
          <w:sz w:val="22"/>
          <w:szCs w:val="22"/>
        </w:rPr>
        <w:t>Conclusion and Outlook</w:t>
      </w:r>
    </w:p>
    <w:p w14:paraId="389211B7" w14:textId="77777777" w:rsidR="0077142C" w:rsidRDefault="0077142C" w:rsidP="0077142C">
      <w:pPr>
        <w:autoSpaceDE w:val="0"/>
        <w:autoSpaceDN w:val="0"/>
        <w:adjustRightInd w:val="0"/>
        <w:rPr>
          <w:rFonts w:ascii="Times New Roman" w:hAnsi="Times New Roman" w:cs="Times New Roman"/>
          <w:color w:val="000000"/>
          <w:sz w:val="22"/>
          <w:szCs w:val="22"/>
        </w:rPr>
      </w:pPr>
    </w:p>
    <w:p w14:paraId="56BE598B" w14:textId="77777777" w:rsidR="0077142C" w:rsidRDefault="0077142C" w:rsidP="0077142C">
      <w:pPr>
        <w:autoSpaceDE w:val="0"/>
        <w:autoSpaceDN w:val="0"/>
        <w:adjustRightInd w:val="0"/>
        <w:rPr>
          <w:rFonts w:ascii="Times New Roman" w:hAnsi="Times New Roman" w:cs="Times New Roman"/>
          <w:color w:val="000000"/>
          <w:sz w:val="22"/>
          <w:szCs w:val="22"/>
        </w:rPr>
      </w:pPr>
      <w:r>
        <w:rPr>
          <w:rFonts w:ascii="Times New Roman" w:hAnsi="Times New Roman" w:cs="Times New Roman"/>
          <w:color w:val="000000"/>
          <w:sz w:val="22"/>
          <w:szCs w:val="22"/>
        </w:rPr>
        <w:t xml:space="preserve">In this proposal we introduce a protein-based chloride sensor that utilize a nitrate binding protein’s promiscuity and a fluorescent protein’s detectable output and thus provide a new platform to anion recognition field so that many scientists can have the tool to study chloride’s function and distribution in different cellular compartment, tissues, and organisms. We also believe this new platform may provide some insights into anion-protein </w:t>
      </w:r>
      <w:proofErr w:type="gramStart"/>
      <w:r>
        <w:rPr>
          <w:rFonts w:ascii="Times New Roman" w:hAnsi="Times New Roman" w:cs="Times New Roman"/>
          <w:color w:val="000000"/>
          <w:sz w:val="22"/>
          <w:szCs w:val="22"/>
        </w:rPr>
        <w:t>interactions, and</w:t>
      </w:r>
      <w:proofErr w:type="gramEnd"/>
      <w:r>
        <w:rPr>
          <w:rFonts w:ascii="Times New Roman" w:hAnsi="Times New Roman" w:cs="Times New Roman"/>
          <w:color w:val="000000"/>
          <w:sz w:val="22"/>
          <w:szCs w:val="22"/>
        </w:rPr>
        <w:t xml:space="preserve"> be generalized to other anion sensing mechanisms in different kinds of biological systems that current does not have a tool available. </w:t>
      </w:r>
    </w:p>
    <w:p w14:paraId="5F7E0EF3" w14:textId="77777777" w:rsidR="0077142C" w:rsidRDefault="0077142C" w:rsidP="0077142C">
      <w:pPr>
        <w:autoSpaceDE w:val="0"/>
        <w:autoSpaceDN w:val="0"/>
        <w:adjustRightInd w:val="0"/>
        <w:rPr>
          <w:rFonts w:ascii="Times New Roman" w:hAnsi="Times New Roman" w:cs="Times New Roman"/>
          <w:color w:val="000000"/>
          <w:sz w:val="22"/>
          <w:szCs w:val="22"/>
        </w:rPr>
      </w:pPr>
    </w:p>
    <w:p w14:paraId="021057DF" w14:textId="77777777" w:rsidR="0077142C" w:rsidRDefault="0077142C" w:rsidP="0077142C">
      <w:pPr>
        <w:autoSpaceDE w:val="0"/>
        <w:autoSpaceDN w:val="0"/>
        <w:adjustRightInd w:val="0"/>
        <w:rPr>
          <w:rFonts w:ascii="Times New Roman" w:hAnsi="Times New Roman" w:cs="Times New Roman"/>
          <w:b/>
          <w:bCs/>
          <w:color w:val="000000"/>
          <w:sz w:val="22"/>
          <w:szCs w:val="22"/>
        </w:rPr>
      </w:pPr>
      <w:r>
        <w:rPr>
          <w:rFonts w:ascii="Times New Roman" w:hAnsi="Times New Roman" w:cs="Times New Roman"/>
          <w:b/>
          <w:bCs/>
          <w:color w:val="000000"/>
          <w:sz w:val="22"/>
          <w:szCs w:val="22"/>
        </w:rPr>
        <w:t>Reference</w:t>
      </w:r>
    </w:p>
    <w:p w14:paraId="4807C673" w14:textId="77777777" w:rsidR="0077142C" w:rsidRDefault="0077142C" w:rsidP="0077142C">
      <w:pPr>
        <w:autoSpaceDE w:val="0"/>
        <w:autoSpaceDN w:val="0"/>
        <w:adjustRightInd w:val="0"/>
        <w:rPr>
          <w:rFonts w:ascii="Times New Roman" w:hAnsi="Times New Roman" w:cs="Times New Roman"/>
          <w:b/>
          <w:bCs/>
          <w:color w:val="000000"/>
          <w:sz w:val="22"/>
          <w:szCs w:val="22"/>
        </w:rPr>
      </w:pPr>
    </w:p>
    <w:p w14:paraId="6D550BB5"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lastRenderedPageBreak/>
        <w:t xml:space="preserve">Zajac, M.; Chakraborty, K.; Saha, S.; Mahadevan, V.; Infield, D. T.; Accardi, A.; Qiu, Z.; Krishnan, Y. What Biologists Want from Their Chloride Reporters - a Conversation between Chemists and Biologists. </w:t>
      </w:r>
      <w:r>
        <w:rPr>
          <w:rFonts w:ascii="Times New Roman" w:hAnsi="Times New Roman" w:cs="Times New Roman"/>
          <w:i/>
          <w:iCs/>
          <w:color w:val="000000"/>
          <w:sz w:val="22"/>
          <w:szCs w:val="22"/>
        </w:rPr>
        <w:t>J. Cell Sci</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2020</w:t>
      </w:r>
      <w:r>
        <w:rPr>
          <w:rFonts w:ascii="Times New Roman" w:hAnsi="Times New Roman" w:cs="Times New Roman"/>
          <w:color w:val="000000"/>
          <w:sz w:val="22"/>
          <w:szCs w:val="22"/>
        </w:rPr>
        <w:t xml:space="preserve">, 133. </w:t>
      </w:r>
      <w:hyperlink r:id="rId10" w:history="1">
        <w:r>
          <w:rPr>
            <w:rFonts w:ascii="Times New Roman" w:hAnsi="Times New Roman" w:cs="Times New Roman"/>
            <w:color w:val="000000"/>
            <w:sz w:val="22"/>
            <w:szCs w:val="22"/>
            <w:u w:val="single"/>
          </w:rPr>
          <w:t>https://doi.org/10.1242/jcs.240390</w:t>
        </w:r>
      </w:hyperlink>
      <w:r>
        <w:rPr>
          <w:rFonts w:ascii="Times New Roman" w:hAnsi="Times New Roman" w:cs="Times New Roman"/>
          <w:color w:val="000000"/>
          <w:sz w:val="22"/>
          <w:szCs w:val="22"/>
        </w:rPr>
        <w:t>.</w:t>
      </w:r>
    </w:p>
    <w:p w14:paraId="72AF1F1A"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Nakai, J.; Ohkura, M.; Imoto, K. A High Signal-to-Noise Ca2+ Probe Composed of a Single Green Fluorescent Protein. </w:t>
      </w:r>
      <w:r>
        <w:rPr>
          <w:rFonts w:ascii="Times New Roman" w:hAnsi="Times New Roman" w:cs="Times New Roman"/>
          <w:i/>
          <w:iCs/>
          <w:color w:val="000000"/>
          <w:sz w:val="22"/>
          <w:szCs w:val="22"/>
        </w:rPr>
        <w:t>Nat. Biotechnol.</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2001</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19</w:t>
      </w:r>
      <w:r>
        <w:rPr>
          <w:rFonts w:ascii="Times New Roman" w:hAnsi="Times New Roman" w:cs="Times New Roman"/>
          <w:color w:val="000000"/>
          <w:sz w:val="22"/>
          <w:szCs w:val="22"/>
        </w:rPr>
        <w:t xml:space="preserve">, 137–141. </w:t>
      </w:r>
      <w:hyperlink r:id="rId11" w:history="1">
        <w:r>
          <w:rPr>
            <w:rFonts w:ascii="Times New Roman" w:hAnsi="Times New Roman" w:cs="Times New Roman"/>
            <w:color w:val="000000"/>
            <w:sz w:val="22"/>
            <w:szCs w:val="22"/>
            <w:u w:val="single"/>
          </w:rPr>
          <w:t>https://doi.org/10.1038/84397</w:t>
        </w:r>
      </w:hyperlink>
      <w:r>
        <w:rPr>
          <w:rFonts w:ascii="Times New Roman" w:hAnsi="Times New Roman" w:cs="Times New Roman"/>
          <w:color w:val="000000"/>
          <w:sz w:val="22"/>
          <w:szCs w:val="22"/>
        </w:rPr>
        <w:t>.</w:t>
      </w:r>
    </w:p>
    <w:p w14:paraId="43492E7E"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Niemann, V.; Koch-Singenstreu, M.; Neu, A.; Nilkens, S.; Götz, F.; Unden, G.; Stehle, T. The NreA Protein Functions as a Nitrate Receptor in the Staphylococcal Nitrate Regulation System. </w:t>
      </w:r>
      <w:r>
        <w:rPr>
          <w:rFonts w:ascii="Times New Roman" w:hAnsi="Times New Roman" w:cs="Times New Roman"/>
          <w:i/>
          <w:iCs/>
          <w:color w:val="000000"/>
          <w:sz w:val="22"/>
          <w:szCs w:val="22"/>
        </w:rPr>
        <w:t>J. Mol. Biol.</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2014</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426</w:t>
      </w:r>
      <w:r>
        <w:rPr>
          <w:rFonts w:ascii="Times New Roman" w:hAnsi="Times New Roman" w:cs="Times New Roman"/>
          <w:color w:val="000000"/>
          <w:sz w:val="22"/>
          <w:szCs w:val="22"/>
        </w:rPr>
        <w:t xml:space="preserve">, 1539–1553. </w:t>
      </w:r>
      <w:hyperlink r:id="rId12" w:history="1">
        <w:r>
          <w:rPr>
            <w:rFonts w:ascii="Times New Roman" w:hAnsi="Times New Roman" w:cs="Times New Roman"/>
            <w:color w:val="000000"/>
            <w:sz w:val="22"/>
            <w:szCs w:val="22"/>
            <w:u w:val="single"/>
          </w:rPr>
          <w:t>https://doi.org/10.1016/j.jmb.2013.12.026</w:t>
        </w:r>
      </w:hyperlink>
      <w:r>
        <w:rPr>
          <w:rFonts w:ascii="Times New Roman" w:hAnsi="Times New Roman" w:cs="Times New Roman"/>
          <w:color w:val="000000"/>
          <w:sz w:val="22"/>
          <w:szCs w:val="22"/>
        </w:rPr>
        <w:t>.</w:t>
      </w:r>
    </w:p>
    <w:p w14:paraId="69896FF6"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Sangare, L.; Chen, W.; Wang, C.; Chen, X.; Wu, M.; Zhang, X.; Zang, J. Structural Insights into the Conformational Change of Staphylococcus Aureus NreA at C-Terminus. </w:t>
      </w:r>
      <w:r>
        <w:rPr>
          <w:rFonts w:ascii="Times New Roman" w:hAnsi="Times New Roman" w:cs="Times New Roman"/>
          <w:i/>
          <w:iCs/>
          <w:color w:val="000000"/>
          <w:sz w:val="22"/>
          <w:szCs w:val="22"/>
        </w:rPr>
        <w:t>Biotechnol. Lett.</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2020</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2</w:t>
      </w:r>
      <w:r>
        <w:rPr>
          <w:rFonts w:ascii="Times New Roman" w:hAnsi="Times New Roman" w:cs="Times New Roman"/>
          <w:color w:val="000000"/>
          <w:sz w:val="22"/>
          <w:szCs w:val="22"/>
        </w:rPr>
        <w:t xml:space="preserve">, 787–795. </w:t>
      </w:r>
      <w:hyperlink r:id="rId13" w:history="1">
        <w:r>
          <w:rPr>
            <w:rFonts w:ascii="Times New Roman" w:hAnsi="Times New Roman" w:cs="Times New Roman"/>
            <w:color w:val="000000"/>
            <w:sz w:val="22"/>
            <w:szCs w:val="22"/>
            <w:u w:val="single"/>
          </w:rPr>
          <w:t>https://doi.org/10.1007/s10529-020-02807-2</w:t>
        </w:r>
      </w:hyperlink>
      <w:r>
        <w:rPr>
          <w:rFonts w:ascii="Times New Roman" w:hAnsi="Times New Roman" w:cs="Times New Roman"/>
          <w:color w:val="000000"/>
          <w:sz w:val="22"/>
          <w:szCs w:val="22"/>
        </w:rPr>
        <w:t>.</w:t>
      </w:r>
    </w:p>
    <w:p w14:paraId="5899288D"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Dutzler, R.; Campbell, E. B.; Cadene, M.; Chait, B. T.; MacKinnon, R. X-Ray Structure of a CIC Chloride Channel at 3.0 Å Reveals the Molecular Basis of Anion Selectivity. </w:t>
      </w:r>
      <w:r>
        <w:rPr>
          <w:rFonts w:ascii="Times New Roman" w:hAnsi="Times New Roman" w:cs="Times New Roman"/>
          <w:i/>
          <w:iCs/>
          <w:color w:val="000000"/>
          <w:sz w:val="22"/>
          <w:szCs w:val="22"/>
        </w:rPr>
        <w:t xml:space="preserve">Nature </w:t>
      </w:r>
      <w:r>
        <w:rPr>
          <w:rFonts w:ascii="Times New Roman" w:hAnsi="Times New Roman" w:cs="Times New Roman"/>
          <w:b/>
          <w:bCs/>
          <w:color w:val="000000"/>
          <w:sz w:val="22"/>
          <w:szCs w:val="22"/>
        </w:rPr>
        <w:t>2002</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415</w:t>
      </w:r>
      <w:r>
        <w:rPr>
          <w:rFonts w:ascii="Times New Roman" w:hAnsi="Times New Roman" w:cs="Times New Roman"/>
          <w:color w:val="000000"/>
          <w:sz w:val="22"/>
          <w:szCs w:val="22"/>
        </w:rPr>
        <w:t xml:space="preserve">, 287–294. </w:t>
      </w:r>
      <w:hyperlink r:id="rId14" w:history="1">
        <w:r>
          <w:rPr>
            <w:rFonts w:ascii="Times New Roman" w:hAnsi="Times New Roman" w:cs="Times New Roman"/>
            <w:color w:val="000000"/>
            <w:sz w:val="22"/>
            <w:szCs w:val="22"/>
            <w:u w:val="single"/>
          </w:rPr>
          <w:t>https://doi.org/10.1038/415287a</w:t>
        </w:r>
      </w:hyperlink>
      <w:r>
        <w:rPr>
          <w:rFonts w:ascii="Times New Roman" w:hAnsi="Times New Roman" w:cs="Times New Roman"/>
          <w:color w:val="000000"/>
          <w:sz w:val="22"/>
          <w:szCs w:val="22"/>
        </w:rPr>
        <w:t>.</w:t>
      </w:r>
    </w:p>
    <w:p w14:paraId="06B5908D"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Jayaram, H.; Robertson, J. L.; Wu, F.; Williams, C.; Miller, C. Structure of a Slow CLC Cl-/H+ Antiporter from a Cyanobacterium. </w:t>
      </w:r>
      <w:r>
        <w:rPr>
          <w:rFonts w:ascii="Times New Roman" w:hAnsi="Times New Roman" w:cs="Times New Roman"/>
          <w:i/>
          <w:iCs/>
          <w:color w:val="000000"/>
          <w:sz w:val="22"/>
          <w:szCs w:val="22"/>
        </w:rPr>
        <w:t>Biochemistry</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2011</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50</w:t>
      </w:r>
      <w:r>
        <w:rPr>
          <w:rFonts w:ascii="Times New Roman" w:hAnsi="Times New Roman" w:cs="Times New Roman"/>
          <w:color w:val="000000"/>
          <w:sz w:val="22"/>
          <w:szCs w:val="22"/>
        </w:rPr>
        <w:t xml:space="preserve">, 788–794. </w:t>
      </w:r>
      <w:hyperlink r:id="rId15" w:history="1">
        <w:r>
          <w:rPr>
            <w:rFonts w:ascii="Times New Roman" w:hAnsi="Times New Roman" w:cs="Times New Roman"/>
            <w:color w:val="000000"/>
            <w:sz w:val="22"/>
            <w:szCs w:val="22"/>
            <w:u w:val="single"/>
          </w:rPr>
          <w:t>https://doi.org/10.1021/bi1019258</w:t>
        </w:r>
      </w:hyperlink>
      <w:r>
        <w:rPr>
          <w:rFonts w:ascii="Times New Roman" w:hAnsi="Times New Roman" w:cs="Times New Roman"/>
          <w:color w:val="000000"/>
          <w:sz w:val="22"/>
          <w:szCs w:val="22"/>
        </w:rPr>
        <w:t>.</w:t>
      </w:r>
    </w:p>
    <w:p w14:paraId="7E773734"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Smith, D. W. Ionic Hydration Enthalpies. </w:t>
      </w:r>
      <w:r>
        <w:rPr>
          <w:rFonts w:ascii="Times New Roman" w:hAnsi="Times New Roman" w:cs="Times New Roman"/>
          <w:i/>
          <w:iCs/>
          <w:color w:val="000000"/>
          <w:sz w:val="22"/>
          <w:szCs w:val="22"/>
        </w:rPr>
        <w:t>J. Chem. Educ.</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1977</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54</w:t>
      </w:r>
      <w:r>
        <w:rPr>
          <w:rFonts w:ascii="Times New Roman" w:hAnsi="Times New Roman" w:cs="Times New Roman"/>
          <w:color w:val="000000"/>
          <w:sz w:val="22"/>
          <w:szCs w:val="22"/>
        </w:rPr>
        <w:t xml:space="preserve">, 540–542. </w:t>
      </w:r>
      <w:hyperlink r:id="rId16" w:history="1">
        <w:r>
          <w:rPr>
            <w:rFonts w:ascii="Times New Roman" w:hAnsi="Times New Roman" w:cs="Times New Roman"/>
            <w:color w:val="000000"/>
            <w:sz w:val="22"/>
            <w:szCs w:val="22"/>
            <w:u w:val="single"/>
          </w:rPr>
          <w:t>https://doi.org/10.1021/ed054p540</w:t>
        </w:r>
      </w:hyperlink>
      <w:r>
        <w:rPr>
          <w:rFonts w:ascii="Times New Roman" w:hAnsi="Times New Roman" w:cs="Times New Roman"/>
          <w:color w:val="000000"/>
          <w:sz w:val="22"/>
          <w:szCs w:val="22"/>
        </w:rPr>
        <w:t>.</w:t>
      </w:r>
    </w:p>
    <w:p w14:paraId="3E8DB8C2"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Jenkins, H. D. B.; Thakur, K. P. Reappraisal of Thermochemical Radii for Complex Ions. </w:t>
      </w:r>
      <w:r>
        <w:rPr>
          <w:rFonts w:ascii="Times New Roman" w:hAnsi="Times New Roman" w:cs="Times New Roman"/>
          <w:i/>
          <w:iCs/>
          <w:color w:val="000000"/>
          <w:sz w:val="22"/>
          <w:szCs w:val="22"/>
        </w:rPr>
        <w:t>J. Chem. Educ.</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1979</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56</w:t>
      </w:r>
      <w:r>
        <w:rPr>
          <w:rFonts w:ascii="Times New Roman" w:hAnsi="Times New Roman" w:cs="Times New Roman"/>
          <w:color w:val="000000"/>
          <w:sz w:val="22"/>
          <w:szCs w:val="22"/>
        </w:rPr>
        <w:t xml:space="preserve">, 576. </w:t>
      </w:r>
      <w:hyperlink r:id="rId17" w:history="1">
        <w:r>
          <w:rPr>
            <w:rFonts w:ascii="Times New Roman" w:hAnsi="Times New Roman" w:cs="Times New Roman"/>
            <w:color w:val="000000"/>
            <w:sz w:val="22"/>
            <w:szCs w:val="22"/>
            <w:u w:val="single"/>
          </w:rPr>
          <w:t>https://doi.org/10.1021/ed056p576</w:t>
        </w:r>
      </w:hyperlink>
      <w:r>
        <w:rPr>
          <w:rFonts w:ascii="Times New Roman" w:hAnsi="Times New Roman" w:cs="Times New Roman"/>
          <w:color w:val="000000"/>
          <w:sz w:val="22"/>
          <w:szCs w:val="22"/>
        </w:rPr>
        <w:t>.</w:t>
      </w:r>
    </w:p>
    <w:p w14:paraId="5DF5AF7C"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Salis, A.; Ninham, B. W. Models and Mechanisms of Hofmeister Effects in Electrolyte Solutions, and Colloid and Protein Systems Revisited. </w:t>
      </w:r>
      <w:r>
        <w:rPr>
          <w:rFonts w:ascii="Times New Roman" w:hAnsi="Times New Roman" w:cs="Times New Roman"/>
          <w:i/>
          <w:iCs/>
          <w:color w:val="000000"/>
          <w:sz w:val="22"/>
          <w:szCs w:val="22"/>
        </w:rPr>
        <w:t>Chem. Soc. Rev.</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2014</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43</w:t>
      </w:r>
      <w:r>
        <w:rPr>
          <w:rFonts w:ascii="Times New Roman" w:hAnsi="Times New Roman" w:cs="Times New Roman"/>
          <w:color w:val="000000"/>
          <w:sz w:val="22"/>
          <w:szCs w:val="22"/>
        </w:rPr>
        <w:t xml:space="preserve">, 7358–7377. </w:t>
      </w:r>
      <w:hyperlink r:id="rId18" w:history="1">
        <w:r>
          <w:rPr>
            <w:rFonts w:ascii="Times New Roman" w:hAnsi="Times New Roman" w:cs="Times New Roman"/>
            <w:color w:val="000000"/>
            <w:sz w:val="22"/>
            <w:szCs w:val="22"/>
            <w:u w:val="single"/>
          </w:rPr>
          <w:t>https://doi.org/10.1039/c4cs00144c</w:t>
        </w:r>
      </w:hyperlink>
      <w:r>
        <w:rPr>
          <w:rFonts w:ascii="Times New Roman" w:hAnsi="Times New Roman" w:cs="Times New Roman"/>
          <w:color w:val="000000"/>
          <w:sz w:val="22"/>
          <w:szCs w:val="22"/>
        </w:rPr>
        <w:t>.</w:t>
      </w:r>
    </w:p>
    <w:p w14:paraId="355A0D0D"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Fedtke, I.; Kamps, A.; Krismer, B.; Götz, F. The Nitrate Reductase and Nitrite Reductase Operons and the NarT Gene of Staphylococcus Carnosus Are Positively Controlled by the Novel Two-Component System NreBC. </w:t>
      </w:r>
      <w:r>
        <w:rPr>
          <w:rFonts w:ascii="Times New Roman" w:hAnsi="Times New Roman" w:cs="Times New Roman"/>
          <w:i/>
          <w:iCs/>
          <w:color w:val="000000"/>
          <w:sz w:val="22"/>
          <w:szCs w:val="22"/>
        </w:rPr>
        <w:t>J. Bacteriol.</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2002</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184</w:t>
      </w:r>
      <w:r>
        <w:rPr>
          <w:rFonts w:ascii="Times New Roman" w:hAnsi="Times New Roman" w:cs="Times New Roman"/>
          <w:color w:val="000000"/>
          <w:sz w:val="22"/>
          <w:szCs w:val="22"/>
        </w:rPr>
        <w:t xml:space="preserve">, 6624–6634. </w:t>
      </w:r>
      <w:hyperlink r:id="rId19" w:history="1">
        <w:r>
          <w:rPr>
            <w:rFonts w:ascii="Times New Roman" w:hAnsi="Times New Roman" w:cs="Times New Roman"/>
            <w:color w:val="000000"/>
            <w:sz w:val="22"/>
            <w:szCs w:val="22"/>
            <w:u w:val="single"/>
          </w:rPr>
          <w:t>https://doi.org/10.1128/JB.184.23.6624-6634.2002</w:t>
        </w:r>
      </w:hyperlink>
      <w:r>
        <w:rPr>
          <w:rFonts w:ascii="Times New Roman" w:hAnsi="Times New Roman" w:cs="Times New Roman"/>
          <w:color w:val="000000"/>
          <w:sz w:val="22"/>
          <w:szCs w:val="22"/>
        </w:rPr>
        <w:t>.</w:t>
      </w:r>
    </w:p>
    <w:p w14:paraId="5AB37FDE"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Nilkens, S.; Koch-Singenstreu, M.; Niemann, V.; Götz, F.; Stehle, T.; Unden, G. Nitrate/Oxygen Co-Sensing by an NreA/NreB Sensor Complex of Staphylococcus Carnosus. </w:t>
      </w:r>
      <w:r>
        <w:rPr>
          <w:rFonts w:ascii="Times New Roman" w:hAnsi="Times New Roman" w:cs="Times New Roman"/>
          <w:i/>
          <w:iCs/>
          <w:color w:val="000000"/>
          <w:sz w:val="22"/>
          <w:szCs w:val="22"/>
        </w:rPr>
        <w:t>Mol. Microbiol.</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2014</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91</w:t>
      </w:r>
      <w:r>
        <w:rPr>
          <w:rFonts w:ascii="Times New Roman" w:hAnsi="Times New Roman" w:cs="Times New Roman"/>
          <w:color w:val="000000"/>
          <w:sz w:val="22"/>
          <w:szCs w:val="22"/>
        </w:rPr>
        <w:t xml:space="preserve">, 381–393. </w:t>
      </w:r>
      <w:hyperlink r:id="rId20" w:history="1">
        <w:r>
          <w:rPr>
            <w:rFonts w:ascii="Times New Roman" w:hAnsi="Times New Roman" w:cs="Times New Roman"/>
            <w:color w:val="000000"/>
            <w:sz w:val="22"/>
            <w:szCs w:val="22"/>
            <w:u w:val="single"/>
          </w:rPr>
          <w:t>https://doi.org/10.1111/mmi.12464</w:t>
        </w:r>
      </w:hyperlink>
      <w:r>
        <w:rPr>
          <w:rFonts w:ascii="Times New Roman" w:hAnsi="Times New Roman" w:cs="Times New Roman"/>
          <w:color w:val="000000"/>
          <w:sz w:val="22"/>
          <w:szCs w:val="22"/>
        </w:rPr>
        <w:t>.</w:t>
      </w:r>
    </w:p>
    <w:p w14:paraId="333D40D0"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Niesen, F. H.; Berglund, H.; Vedadi, M. The Use of Differential Scanning Fluorimetry to Detect Ligand Interactions That Promote Protein Stability. </w:t>
      </w:r>
      <w:r>
        <w:rPr>
          <w:rFonts w:ascii="Times New Roman" w:hAnsi="Times New Roman" w:cs="Times New Roman"/>
          <w:i/>
          <w:iCs/>
          <w:color w:val="000000"/>
          <w:sz w:val="22"/>
          <w:szCs w:val="22"/>
        </w:rPr>
        <w:t>Nat. Protoc.</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2007</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2</w:t>
      </w:r>
      <w:r>
        <w:rPr>
          <w:rFonts w:ascii="Times New Roman" w:hAnsi="Times New Roman" w:cs="Times New Roman"/>
          <w:color w:val="000000"/>
          <w:sz w:val="22"/>
          <w:szCs w:val="22"/>
        </w:rPr>
        <w:t xml:space="preserve">, 2212–2221. </w:t>
      </w:r>
      <w:hyperlink r:id="rId21" w:history="1">
        <w:r>
          <w:rPr>
            <w:rFonts w:ascii="Times New Roman" w:hAnsi="Times New Roman" w:cs="Times New Roman"/>
            <w:color w:val="000000"/>
            <w:sz w:val="22"/>
            <w:szCs w:val="22"/>
            <w:u w:val="single"/>
          </w:rPr>
          <w:t>https://doi.org/10.1038/nprot.2007.321</w:t>
        </w:r>
      </w:hyperlink>
      <w:r>
        <w:rPr>
          <w:rFonts w:ascii="Times New Roman" w:hAnsi="Times New Roman" w:cs="Times New Roman"/>
          <w:color w:val="000000"/>
          <w:sz w:val="22"/>
          <w:szCs w:val="22"/>
        </w:rPr>
        <w:t>.</w:t>
      </w:r>
    </w:p>
    <w:p w14:paraId="4FEC4B3F"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Holdgate, G. A.; Ward, W. H. J. Measurements of Binding Thermodynamics in Drug Discovery. </w:t>
      </w:r>
      <w:r>
        <w:rPr>
          <w:rFonts w:ascii="Times New Roman" w:hAnsi="Times New Roman" w:cs="Times New Roman"/>
          <w:i/>
          <w:iCs/>
          <w:color w:val="000000"/>
          <w:sz w:val="22"/>
          <w:szCs w:val="22"/>
        </w:rPr>
        <w:t>Drug Discov. Today</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2005</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10</w:t>
      </w:r>
      <w:r>
        <w:rPr>
          <w:rFonts w:ascii="Times New Roman" w:hAnsi="Times New Roman" w:cs="Times New Roman"/>
          <w:color w:val="000000"/>
          <w:sz w:val="22"/>
          <w:szCs w:val="22"/>
        </w:rPr>
        <w:t xml:space="preserve">, 1543–1550. </w:t>
      </w:r>
      <w:hyperlink r:id="rId22" w:history="1">
        <w:r>
          <w:rPr>
            <w:rFonts w:ascii="Times New Roman" w:hAnsi="Times New Roman" w:cs="Times New Roman"/>
            <w:color w:val="000000"/>
            <w:sz w:val="22"/>
            <w:szCs w:val="22"/>
            <w:u w:val="single"/>
          </w:rPr>
          <w:t>https://doi.org/10.1016/S1359-6446(05)03610-X</w:t>
        </w:r>
      </w:hyperlink>
      <w:r>
        <w:rPr>
          <w:rFonts w:ascii="Times New Roman" w:hAnsi="Times New Roman" w:cs="Times New Roman"/>
          <w:color w:val="000000"/>
          <w:sz w:val="22"/>
          <w:szCs w:val="22"/>
        </w:rPr>
        <w:t>.</w:t>
      </w:r>
    </w:p>
    <w:p w14:paraId="370F8801"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Vetting, M. W.; Al-Obaidi, N.; Zhao, S.; San Francisco, B.; Kim, J.; Wichelecki, D. J.; Bouvier, J. T.; Solbiati, J. O.; Vu, H.; Zhang, X.; et al. Experimental Strategies for Functional Annotation and Metabolism Discovery: Targeted Screening of Solute Binding Proteins and Unbiased Panning of Metabolomes. </w:t>
      </w:r>
      <w:r>
        <w:rPr>
          <w:rFonts w:ascii="Times New Roman" w:hAnsi="Times New Roman" w:cs="Times New Roman"/>
          <w:i/>
          <w:iCs/>
          <w:color w:val="000000"/>
          <w:sz w:val="22"/>
          <w:szCs w:val="22"/>
        </w:rPr>
        <w:t>Biochemistry</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2015</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54</w:t>
      </w:r>
      <w:r>
        <w:rPr>
          <w:rFonts w:ascii="Times New Roman" w:hAnsi="Times New Roman" w:cs="Times New Roman"/>
          <w:color w:val="000000"/>
          <w:sz w:val="22"/>
          <w:szCs w:val="22"/>
        </w:rPr>
        <w:t xml:space="preserve">, 909–931. </w:t>
      </w:r>
      <w:hyperlink r:id="rId23" w:history="1">
        <w:r>
          <w:rPr>
            <w:rFonts w:ascii="Times New Roman" w:hAnsi="Times New Roman" w:cs="Times New Roman"/>
            <w:color w:val="000000"/>
            <w:sz w:val="22"/>
            <w:szCs w:val="22"/>
            <w:u w:val="single"/>
          </w:rPr>
          <w:t>https://doi.org/10.1021/bi501388y</w:t>
        </w:r>
      </w:hyperlink>
      <w:r>
        <w:rPr>
          <w:rFonts w:ascii="Times New Roman" w:hAnsi="Times New Roman" w:cs="Times New Roman"/>
          <w:color w:val="000000"/>
          <w:sz w:val="22"/>
          <w:szCs w:val="22"/>
        </w:rPr>
        <w:t>.</w:t>
      </w:r>
    </w:p>
    <w:p w14:paraId="69E15937"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Zarowny, L.; Aggarwal, A.; Rutten, V. M. S.; Kolb, I.; Project, T. G.; Patel, R.; Huang, H.-Y.; Chang, Y.-F.; Phan, T.; Kanyo, R.; et al. A Bright and High-Performance Genetically Encoded Ca2+ Indicator Based on mNeonGreen Fluorescent Protein. </w:t>
      </w:r>
      <w:r>
        <w:rPr>
          <w:rFonts w:ascii="Times New Roman" w:hAnsi="Times New Roman" w:cs="Times New Roman"/>
          <w:i/>
          <w:iCs/>
          <w:color w:val="000000"/>
          <w:sz w:val="22"/>
          <w:szCs w:val="22"/>
        </w:rPr>
        <w:t>bioRxiv</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2020</w:t>
      </w:r>
      <w:r>
        <w:rPr>
          <w:rFonts w:ascii="Times New Roman" w:hAnsi="Times New Roman" w:cs="Times New Roman"/>
          <w:color w:val="000000"/>
          <w:sz w:val="22"/>
          <w:szCs w:val="22"/>
        </w:rPr>
        <w:t xml:space="preserve">, 3, 2020.01.16.909291. </w:t>
      </w:r>
      <w:hyperlink r:id="rId24" w:history="1">
        <w:r>
          <w:rPr>
            <w:rFonts w:ascii="Times New Roman" w:hAnsi="Times New Roman" w:cs="Times New Roman"/>
            <w:color w:val="000000"/>
            <w:sz w:val="22"/>
            <w:szCs w:val="22"/>
            <w:u w:val="single"/>
          </w:rPr>
          <w:t>https://doi.org/10.1101/2020.01.16.909291</w:t>
        </w:r>
      </w:hyperlink>
      <w:r>
        <w:rPr>
          <w:rFonts w:ascii="Times New Roman" w:hAnsi="Times New Roman" w:cs="Times New Roman"/>
          <w:color w:val="000000"/>
          <w:sz w:val="22"/>
          <w:szCs w:val="22"/>
        </w:rPr>
        <w:t>.</w:t>
      </w:r>
    </w:p>
    <w:p w14:paraId="05287E6E"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Chen, T.; Wardill, T. J.; Sun, Y.; Pulver, S. R.; Renninger, S. L.; Baohan, A.; Schreiter, E. R.; Kerr, R. A.; Orger, M. B.; Jayaraman, V.; et al. Ultrasensitive Fluorescent Proteins for Imaging Neuronal Activity. </w:t>
      </w:r>
      <w:r>
        <w:rPr>
          <w:rFonts w:ascii="Times New Roman" w:hAnsi="Times New Roman" w:cs="Times New Roman"/>
          <w:i/>
          <w:iCs/>
          <w:color w:val="000000"/>
          <w:sz w:val="22"/>
          <w:szCs w:val="22"/>
        </w:rPr>
        <w:t>Nature</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2013</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499</w:t>
      </w:r>
      <w:r>
        <w:rPr>
          <w:rFonts w:ascii="Times New Roman" w:hAnsi="Times New Roman" w:cs="Times New Roman"/>
          <w:color w:val="000000"/>
          <w:sz w:val="22"/>
          <w:szCs w:val="22"/>
        </w:rPr>
        <w:t xml:space="preserve">, 295–300. </w:t>
      </w:r>
      <w:hyperlink r:id="rId25" w:history="1">
        <w:r>
          <w:rPr>
            <w:rFonts w:ascii="Times New Roman" w:hAnsi="Times New Roman" w:cs="Times New Roman"/>
            <w:color w:val="000000"/>
            <w:sz w:val="22"/>
            <w:szCs w:val="22"/>
            <w:u w:val="single"/>
          </w:rPr>
          <w:t>https://doi.org/10.1038/nature12354</w:t>
        </w:r>
      </w:hyperlink>
      <w:r>
        <w:rPr>
          <w:rFonts w:ascii="Times New Roman" w:hAnsi="Times New Roman" w:cs="Times New Roman"/>
          <w:color w:val="000000"/>
          <w:sz w:val="22"/>
          <w:szCs w:val="22"/>
        </w:rPr>
        <w:t>.</w:t>
      </w:r>
    </w:p>
    <w:p w14:paraId="7D870791"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Kostyuk, A. I.; Demidovich, A. D.; Kotova, D. A.; Belousov, V. V.; Bilan, D. S. Circularly Permuted Fluorescent Protein-Based Indicators: History, Principles, and Classification. </w:t>
      </w:r>
      <w:r>
        <w:rPr>
          <w:rFonts w:ascii="Times New Roman" w:hAnsi="Times New Roman" w:cs="Times New Roman"/>
          <w:i/>
          <w:iCs/>
          <w:color w:val="000000"/>
          <w:sz w:val="22"/>
          <w:szCs w:val="22"/>
        </w:rPr>
        <w:t>Int. J. Mol. Sci.</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2019</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20</w:t>
      </w:r>
      <w:r>
        <w:rPr>
          <w:rFonts w:ascii="Times New Roman" w:hAnsi="Times New Roman" w:cs="Times New Roman"/>
          <w:color w:val="000000"/>
          <w:sz w:val="22"/>
          <w:szCs w:val="22"/>
        </w:rPr>
        <w:t>,</w:t>
      </w:r>
      <w:r>
        <w:rPr>
          <w:rFonts w:ascii="Times New Roman" w:hAnsi="Times New Roman" w:cs="Times New Roman"/>
          <w:i/>
          <w:iCs/>
          <w:color w:val="000000"/>
          <w:sz w:val="22"/>
          <w:szCs w:val="22"/>
        </w:rPr>
        <w:t xml:space="preserve"> </w:t>
      </w:r>
      <w:r>
        <w:rPr>
          <w:rFonts w:ascii="Times New Roman" w:hAnsi="Times New Roman" w:cs="Times New Roman"/>
          <w:color w:val="000000"/>
          <w:sz w:val="22"/>
          <w:szCs w:val="22"/>
        </w:rPr>
        <w:t xml:space="preserve">4200. </w:t>
      </w:r>
      <w:hyperlink r:id="rId26" w:history="1">
        <w:r>
          <w:rPr>
            <w:rFonts w:ascii="Times New Roman" w:hAnsi="Times New Roman" w:cs="Times New Roman"/>
            <w:color w:val="000000"/>
            <w:sz w:val="22"/>
            <w:szCs w:val="22"/>
            <w:u w:val="single"/>
          </w:rPr>
          <w:t>https://doi.org/10.3390/ijms20174200</w:t>
        </w:r>
      </w:hyperlink>
      <w:r>
        <w:rPr>
          <w:rFonts w:ascii="Times New Roman" w:hAnsi="Times New Roman" w:cs="Times New Roman"/>
          <w:color w:val="000000"/>
          <w:sz w:val="22"/>
          <w:szCs w:val="22"/>
        </w:rPr>
        <w:t>.</w:t>
      </w:r>
    </w:p>
    <w:p w14:paraId="403A3C10"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lastRenderedPageBreak/>
        <w:t xml:space="preserve">Subach, O. M.; Sotskov, V. P.; Plusnin, V. V.; Gruzdeva, A. M.; Barykina, N. V.; Ivashkina, O. I.; Anokhin, K. V.; Nikolaeva, A. Y.; Korzhenevskiy, D. A.; Vlaskina, A. V.; et al. Novel Genetically Encoded Bright Positive Calcium Indicator Ncamp7 Based on the Mneongreen Fluorescent Protein. </w:t>
      </w:r>
      <w:r>
        <w:rPr>
          <w:rFonts w:ascii="Times New Roman" w:hAnsi="Times New Roman" w:cs="Times New Roman"/>
          <w:i/>
          <w:iCs/>
          <w:color w:val="000000"/>
          <w:sz w:val="22"/>
          <w:szCs w:val="22"/>
        </w:rPr>
        <w:t>Int. J. Mol. Sci.</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2020</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21</w:t>
      </w:r>
      <w:r>
        <w:rPr>
          <w:rFonts w:ascii="Times New Roman" w:hAnsi="Times New Roman" w:cs="Times New Roman"/>
          <w:color w:val="000000"/>
          <w:sz w:val="22"/>
          <w:szCs w:val="22"/>
        </w:rPr>
        <w:t xml:space="preserve">, 1–24. </w:t>
      </w:r>
      <w:hyperlink r:id="rId27" w:history="1">
        <w:r>
          <w:rPr>
            <w:rFonts w:ascii="Times New Roman" w:hAnsi="Times New Roman" w:cs="Times New Roman"/>
            <w:color w:val="000000"/>
            <w:sz w:val="22"/>
            <w:szCs w:val="22"/>
            <w:u w:val="single"/>
          </w:rPr>
          <w:t>https://doi.org/10.3390/ijms21051644</w:t>
        </w:r>
      </w:hyperlink>
      <w:r>
        <w:rPr>
          <w:rFonts w:ascii="Times New Roman" w:hAnsi="Times New Roman" w:cs="Times New Roman"/>
          <w:color w:val="000000"/>
          <w:sz w:val="22"/>
          <w:szCs w:val="22"/>
        </w:rPr>
        <w:t>.</w:t>
      </w:r>
    </w:p>
    <w:p w14:paraId="151F0B5B"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Phillips, J. C.; Braun, R.; Wang, W.; Gumbart, J.; Tajkhorshid, E.; Villa, E.; Chipot, C.; Skeel, R. D.; Kalé, L.; Schulten, K. Scalable Molecular Dynamics with NAMD. </w:t>
      </w:r>
      <w:r>
        <w:rPr>
          <w:rFonts w:ascii="Times New Roman" w:hAnsi="Times New Roman" w:cs="Times New Roman"/>
          <w:i/>
          <w:iCs/>
          <w:color w:val="000000"/>
          <w:sz w:val="22"/>
          <w:szCs w:val="22"/>
        </w:rPr>
        <w:t>J. Comput. Chem.</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2005</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26</w:t>
      </w:r>
      <w:r>
        <w:rPr>
          <w:rFonts w:ascii="Times New Roman" w:hAnsi="Times New Roman" w:cs="Times New Roman"/>
          <w:color w:val="000000"/>
          <w:sz w:val="22"/>
          <w:szCs w:val="22"/>
        </w:rPr>
        <w:t xml:space="preserve">, 1781–1802. </w:t>
      </w:r>
      <w:hyperlink r:id="rId28" w:history="1">
        <w:r>
          <w:rPr>
            <w:rFonts w:ascii="Times New Roman" w:hAnsi="Times New Roman" w:cs="Times New Roman"/>
            <w:color w:val="000000"/>
            <w:sz w:val="22"/>
            <w:szCs w:val="22"/>
            <w:u w:val="single"/>
          </w:rPr>
          <w:t>https://doi.org/10.1002/jcc.20289</w:t>
        </w:r>
      </w:hyperlink>
      <w:r>
        <w:rPr>
          <w:rFonts w:ascii="Times New Roman" w:hAnsi="Times New Roman" w:cs="Times New Roman"/>
          <w:color w:val="000000"/>
          <w:sz w:val="22"/>
          <w:szCs w:val="22"/>
        </w:rPr>
        <w:t>.</w:t>
      </w:r>
    </w:p>
    <w:p w14:paraId="630357DB"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Humphrey, W., Dalke, A. and Schulten, K. VMD - Visual Molecular Dynamics, </w:t>
      </w:r>
      <w:r>
        <w:rPr>
          <w:rFonts w:ascii="Times New Roman" w:hAnsi="Times New Roman" w:cs="Times New Roman"/>
          <w:i/>
          <w:iCs/>
          <w:color w:val="000000"/>
          <w:sz w:val="22"/>
          <w:szCs w:val="22"/>
        </w:rPr>
        <w:t>J. Molec. Graphics</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1996</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14</w:t>
      </w:r>
      <w:r>
        <w:rPr>
          <w:rFonts w:ascii="Times New Roman" w:hAnsi="Times New Roman" w:cs="Times New Roman"/>
          <w:color w:val="000000"/>
          <w:sz w:val="22"/>
          <w:szCs w:val="22"/>
        </w:rPr>
        <w:t xml:space="preserve">, 33-38. </w:t>
      </w:r>
      <w:hyperlink r:id="rId29" w:history="1">
        <w:r>
          <w:rPr>
            <w:rFonts w:ascii="Times New Roman" w:hAnsi="Times New Roman" w:cs="Times New Roman"/>
            <w:color w:val="000000"/>
            <w:sz w:val="22"/>
            <w:szCs w:val="22"/>
            <w:u w:val="single"/>
          </w:rPr>
          <w:t>https://doi.org/10.1016/0263-7855(96)00018-5</w:t>
        </w:r>
      </w:hyperlink>
      <w:r>
        <w:rPr>
          <w:rFonts w:ascii="Times New Roman" w:hAnsi="Times New Roman" w:cs="Times New Roman"/>
          <w:color w:val="000000"/>
          <w:sz w:val="22"/>
          <w:szCs w:val="22"/>
        </w:rPr>
        <w:t>.</w:t>
      </w:r>
    </w:p>
    <w:p w14:paraId="124E566F"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Baird, G. S.; Zacharias, D. A.; Tsien, R. Y. Circular Permutation and Receptor Insertion within Green Fluorescent Proteins. </w:t>
      </w:r>
      <w:r>
        <w:rPr>
          <w:rFonts w:ascii="Times New Roman" w:hAnsi="Times New Roman" w:cs="Times New Roman"/>
          <w:i/>
          <w:iCs/>
          <w:color w:val="000000"/>
          <w:sz w:val="22"/>
          <w:szCs w:val="22"/>
        </w:rPr>
        <w:t>Proc. Natl. Acad. Sci. U. S. A.</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1999</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96</w:t>
      </w:r>
      <w:r>
        <w:rPr>
          <w:rFonts w:ascii="Times New Roman" w:hAnsi="Times New Roman" w:cs="Times New Roman"/>
          <w:color w:val="000000"/>
          <w:sz w:val="22"/>
          <w:szCs w:val="22"/>
        </w:rPr>
        <w:t xml:space="preserve">, 11241–11246. </w:t>
      </w:r>
      <w:hyperlink r:id="rId30" w:history="1">
        <w:r>
          <w:rPr>
            <w:rFonts w:ascii="Times New Roman" w:hAnsi="Times New Roman" w:cs="Times New Roman"/>
            <w:color w:val="000000"/>
            <w:sz w:val="22"/>
            <w:szCs w:val="22"/>
            <w:u w:val="single"/>
          </w:rPr>
          <w:t>https://doi.org/10.1073/pnas.96.20.11241</w:t>
        </w:r>
      </w:hyperlink>
      <w:r>
        <w:rPr>
          <w:rFonts w:ascii="Times New Roman" w:hAnsi="Times New Roman" w:cs="Times New Roman"/>
          <w:color w:val="000000"/>
          <w:sz w:val="22"/>
          <w:szCs w:val="22"/>
        </w:rPr>
        <w:t>.</w:t>
      </w:r>
    </w:p>
    <w:p w14:paraId="6256AD0D"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Qin, Y.; Sammond, D. W.; Braselmann, E.; Carpenter, M. C.; Palmer, A. E. Development of an Optical Zn 2+ Probe Based on a Single Fluorescent Protein. </w:t>
      </w:r>
      <w:r>
        <w:rPr>
          <w:rFonts w:ascii="Times New Roman" w:hAnsi="Times New Roman" w:cs="Times New Roman"/>
          <w:i/>
          <w:iCs/>
          <w:color w:val="000000"/>
          <w:sz w:val="22"/>
          <w:szCs w:val="22"/>
        </w:rPr>
        <w:t>ACS Chem. Biol.</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2016</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11</w:t>
      </w:r>
      <w:r>
        <w:rPr>
          <w:rFonts w:ascii="Times New Roman" w:hAnsi="Times New Roman" w:cs="Times New Roman"/>
          <w:color w:val="000000"/>
          <w:sz w:val="22"/>
          <w:szCs w:val="22"/>
        </w:rPr>
        <w:t xml:space="preserve">, 2744–2751. </w:t>
      </w:r>
      <w:hyperlink r:id="rId31" w:history="1">
        <w:r>
          <w:rPr>
            <w:rFonts w:ascii="Times New Roman" w:hAnsi="Times New Roman" w:cs="Times New Roman"/>
            <w:color w:val="000000"/>
            <w:sz w:val="22"/>
            <w:szCs w:val="22"/>
            <w:u w:val="single"/>
          </w:rPr>
          <w:t>https://doi.org/10.1021/acschembio.6b00442</w:t>
        </w:r>
      </w:hyperlink>
      <w:r>
        <w:rPr>
          <w:rFonts w:ascii="Times New Roman" w:hAnsi="Times New Roman" w:cs="Times New Roman"/>
          <w:color w:val="000000"/>
          <w:sz w:val="22"/>
          <w:szCs w:val="22"/>
        </w:rPr>
        <w:t>.</w:t>
      </w:r>
    </w:p>
    <w:p w14:paraId="3239A590"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Tutol, J. N.; Peng, W.; Dodani, S. C. Discovery and Characterization of a Naturally Occurring, Turn-On Yellow Fluorescent Protein Sensor for Chloride. </w:t>
      </w:r>
      <w:r>
        <w:rPr>
          <w:rFonts w:ascii="Times New Roman" w:hAnsi="Times New Roman" w:cs="Times New Roman"/>
          <w:i/>
          <w:iCs/>
          <w:color w:val="000000"/>
          <w:sz w:val="22"/>
          <w:szCs w:val="22"/>
        </w:rPr>
        <w:t>Biochemistry</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2019</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58</w:t>
      </w:r>
      <w:r>
        <w:rPr>
          <w:rFonts w:ascii="Times New Roman" w:hAnsi="Times New Roman" w:cs="Times New Roman"/>
          <w:color w:val="000000"/>
          <w:sz w:val="22"/>
          <w:szCs w:val="22"/>
        </w:rPr>
        <w:t xml:space="preserve">, 31–35. </w:t>
      </w:r>
      <w:hyperlink r:id="rId32" w:history="1">
        <w:r>
          <w:rPr>
            <w:rFonts w:ascii="Times New Roman" w:hAnsi="Times New Roman" w:cs="Times New Roman"/>
            <w:color w:val="000000"/>
            <w:sz w:val="22"/>
            <w:szCs w:val="22"/>
            <w:u w:val="single"/>
          </w:rPr>
          <w:t>https://doi.org/10.1021/acs.biochem.8b00928</w:t>
        </w:r>
      </w:hyperlink>
      <w:r>
        <w:rPr>
          <w:rFonts w:ascii="Times New Roman" w:hAnsi="Times New Roman" w:cs="Times New Roman"/>
          <w:color w:val="000000"/>
          <w:sz w:val="22"/>
          <w:szCs w:val="22"/>
        </w:rPr>
        <w:t>.</w:t>
      </w:r>
    </w:p>
    <w:p w14:paraId="689156FB"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Packer, M. S.; Liu, D. R. Methods for the Directed Evolution of Proteins. </w:t>
      </w:r>
      <w:r>
        <w:rPr>
          <w:rFonts w:ascii="Times New Roman" w:hAnsi="Times New Roman" w:cs="Times New Roman"/>
          <w:i/>
          <w:iCs/>
          <w:color w:val="000000"/>
          <w:sz w:val="22"/>
          <w:szCs w:val="22"/>
        </w:rPr>
        <w:t>Nat. Rev. Genet.</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2015</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16</w:t>
      </w:r>
      <w:r>
        <w:rPr>
          <w:rFonts w:ascii="Times New Roman" w:hAnsi="Times New Roman" w:cs="Times New Roman"/>
          <w:color w:val="000000"/>
          <w:sz w:val="22"/>
          <w:szCs w:val="22"/>
        </w:rPr>
        <w:t xml:space="preserve">, 379–394. </w:t>
      </w:r>
      <w:hyperlink r:id="rId33" w:history="1">
        <w:r>
          <w:rPr>
            <w:rFonts w:ascii="Times New Roman" w:hAnsi="Times New Roman" w:cs="Times New Roman"/>
            <w:color w:val="000000"/>
            <w:sz w:val="22"/>
            <w:szCs w:val="22"/>
            <w:u w:val="single"/>
          </w:rPr>
          <w:t>https://doi.org/10.1038/nrg3927</w:t>
        </w:r>
      </w:hyperlink>
      <w:r>
        <w:rPr>
          <w:rFonts w:ascii="Times New Roman" w:hAnsi="Times New Roman" w:cs="Times New Roman"/>
          <w:color w:val="000000"/>
          <w:sz w:val="22"/>
          <w:szCs w:val="22"/>
        </w:rPr>
        <w:t>.</w:t>
      </w:r>
    </w:p>
    <w:p w14:paraId="2AC2DAF0"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Jerabek-Willemsen, M.; André, T.; Wanner, R.; Roth, H. M.; Duhr, S.; Baaske, P.; Breitsprecher, D. MicroScale Thermophoresis: Interaction Analysis and Beyond. </w:t>
      </w:r>
      <w:r>
        <w:rPr>
          <w:rFonts w:ascii="Times New Roman" w:hAnsi="Times New Roman" w:cs="Times New Roman"/>
          <w:i/>
          <w:iCs/>
          <w:color w:val="000000"/>
          <w:sz w:val="22"/>
          <w:szCs w:val="22"/>
        </w:rPr>
        <w:t>J. Mol. Struct.</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2014</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1077</w:t>
      </w:r>
      <w:r>
        <w:rPr>
          <w:rFonts w:ascii="Times New Roman" w:hAnsi="Times New Roman" w:cs="Times New Roman"/>
          <w:color w:val="000000"/>
          <w:sz w:val="22"/>
          <w:szCs w:val="22"/>
        </w:rPr>
        <w:t xml:space="preserve">, 101–113. </w:t>
      </w:r>
      <w:hyperlink r:id="rId34" w:history="1">
        <w:r>
          <w:rPr>
            <w:rFonts w:ascii="Times New Roman" w:hAnsi="Times New Roman" w:cs="Times New Roman"/>
            <w:color w:val="000000"/>
            <w:sz w:val="22"/>
            <w:szCs w:val="22"/>
            <w:u w:val="single"/>
          </w:rPr>
          <w:t>https://doi.org/10.1016/j.molstruc.2014.03.009</w:t>
        </w:r>
      </w:hyperlink>
      <w:r>
        <w:rPr>
          <w:rFonts w:ascii="Times New Roman" w:hAnsi="Times New Roman" w:cs="Times New Roman"/>
          <w:color w:val="000000"/>
          <w:sz w:val="22"/>
          <w:szCs w:val="22"/>
        </w:rPr>
        <w:t>.</w:t>
      </w:r>
    </w:p>
    <w:p w14:paraId="1055F76A"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Freire, E.; Mayorga, O. L.; Straume, M. Isothermal Titration. </w:t>
      </w:r>
      <w:r>
        <w:rPr>
          <w:rFonts w:ascii="Times New Roman" w:hAnsi="Times New Roman" w:cs="Times New Roman"/>
          <w:i/>
          <w:iCs/>
          <w:color w:val="000000"/>
          <w:sz w:val="22"/>
          <w:szCs w:val="22"/>
        </w:rPr>
        <w:t>Anal. Chem.</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1990</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62</w:t>
      </w:r>
      <w:r>
        <w:rPr>
          <w:rFonts w:ascii="Times New Roman" w:hAnsi="Times New Roman" w:cs="Times New Roman"/>
          <w:color w:val="000000"/>
          <w:sz w:val="22"/>
          <w:szCs w:val="22"/>
        </w:rPr>
        <w:t xml:space="preserve">, 950A-959A. </w:t>
      </w:r>
      <w:hyperlink r:id="rId35" w:history="1">
        <w:r>
          <w:rPr>
            <w:rFonts w:ascii="Times New Roman" w:hAnsi="Times New Roman" w:cs="Times New Roman"/>
            <w:color w:val="000000"/>
            <w:sz w:val="22"/>
            <w:szCs w:val="22"/>
            <w:u w:val="single"/>
          </w:rPr>
          <w:t>https://doi.org/10.1021/ac00217a002</w:t>
        </w:r>
      </w:hyperlink>
      <w:r>
        <w:rPr>
          <w:rFonts w:ascii="Times New Roman" w:hAnsi="Times New Roman" w:cs="Times New Roman"/>
          <w:color w:val="000000"/>
          <w:sz w:val="22"/>
          <w:szCs w:val="22"/>
        </w:rPr>
        <w:t>.</w:t>
      </w:r>
    </w:p>
    <w:p w14:paraId="4D016943" w14:textId="77777777" w:rsidR="0077142C" w:rsidRDefault="0077142C" w:rsidP="0077142C">
      <w:pPr>
        <w:numPr>
          <w:ilvl w:val="1"/>
          <w:numId w:val="1"/>
        </w:numPr>
        <w:tabs>
          <w:tab w:val="left" w:pos="360"/>
          <w:tab w:val="left" w:pos="720"/>
        </w:tabs>
        <w:autoSpaceDE w:val="0"/>
        <w:autoSpaceDN w:val="0"/>
        <w:adjustRightInd w:val="0"/>
        <w:ind w:left="720" w:hanging="720"/>
        <w:rPr>
          <w:rFonts w:ascii="Times New Roman" w:hAnsi="Times New Roman" w:cs="Times New Roman"/>
          <w:color w:val="000000"/>
          <w:sz w:val="22"/>
          <w:szCs w:val="22"/>
        </w:rPr>
      </w:pPr>
      <w:r>
        <w:rPr>
          <w:rFonts w:ascii="Times New Roman" w:hAnsi="Times New Roman" w:cs="Times New Roman"/>
          <w:color w:val="000000"/>
          <w:sz w:val="22"/>
          <w:szCs w:val="22"/>
        </w:rPr>
        <w:t xml:space="preserve">Arnold, F. H.; Georgiou, G.; Cirino, P. C.; Mayer, K. M.; Umeno, D. Generating Mutant Libraries Using Error-Prone PCR. </w:t>
      </w:r>
      <w:r>
        <w:rPr>
          <w:rFonts w:ascii="Times New Roman" w:hAnsi="Times New Roman" w:cs="Times New Roman"/>
          <w:i/>
          <w:iCs/>
          <w:color w:val="000000"/>
          <w:sz w:val="22"/>
          <w:szCs w:val="22"/>
        </w:rPr>
        <w:t>Dir. Evol. Libr. Creat.</w:t>
      </w:r>
      <w:r>
        <w:rPr>
          <w:rFonts w:ascii="Times New Roman" w:hAnsi="Times New Roman" w:cs="Times New Roman"/>
          <w:color w:val="000000"/>
          <w:sz w:val="22"/>
          <w:szCs w:val="22"/>
        </w:rPr>
        <w:t xml:space="preserve"> </w:t>
      </w:r>
      <w:r>
        <w:rPr>
          <w:rFonts w:ascii="Times New Roman" w:hAnsi="Times New Roman" w:cs="Times New Roman"/>
          <w:b/>
          <w:bCs/>
          <w:color w:val="000000"/>
          <w:sz w:val="22"/>
          <w:szCs w:val="22"/>
        </w:rPr>
        <w:t>2003</w:t>
      </w:r>
      <w:r>
        <w:rPr>
          <w:rFonts w:ascii="Times New Roman" w:hAnsi="Times New Roman" w:cs="Times New Roman"/>
          <w:color w:val="000000"/>
          <w:sz w:val="22"/>
          <w:szCs w:val="22"/>
        </w:rPr>
        <w:t xml:space="preserve">, </w:t>
      </w:r>
      <w:r>
        <w:rPr>
          <w:rFonts w:ascii="Times New Roman" w:hAnsi="Times New Roman" w:cs="Times New Roman"/>
          <w:i/>
          <w:iCs/>
          <w:color w:val="000000"/>
          <w:sz w:val="22"/>
          <w:szCs w:val="22"/>
        </w:rPr>
        <w:t>231</w:t>
      </w:r>
      <w:r>
        <w:rPr>
          <w:rFonts w:ascii="Times New Roman" w:hAnsi="Times New Roman" w:cs="Times New Roman"/>
          <w:color w:val="000000"/>
          <w:sz w:val="22"/>
          <w:szCs w:val="22"/>
        </w:rPr>
        <w:t xml:space="preserve">, 3–10. </w:t>
      </w:r>
      <w:hyperlink r:id="rId36" w:history="1">
        <w:r>
          <w:rPr>
            <w:rFonts w:ascii="Times New Roman" w:hAnsi="Times New Roman" w:cs="Times New Roman"/>
            <w:color w:val="000000"/>
            <w:sz w:val="22"/>
            <w:szCs w:val="22"/>
            <w:u w:val="single"/>
          </w:rPr>
          <w:t>https://doi.org/10.1385/1-59259-395-x:3</w:t>
        </w:r>
      </w:hyperlink>
      <w:r>
        <w:rPr>
          <w:rFonts w:ascii="Times New Roman" w:hAnsi="Times New Roman" w:cs="Times New Roman"/>
          <w:color w:val="000000"/>
          <w:sz w:val="22"/>
          <w:szCs w:val="22"/>
        </w:rPr>
        <w:t>.</w:t>
      </w:r>
    </w:p>
    <w:p w14:paraId="4A2FFB51" w14:textId="77777777" w:rsidR="0077142C" w:rsidRDefault="0077142C" w:rsidP="0077142C">
      <w:pPr>
        <w:autoSpaceDE w:val="0"/>
        <w:autoSpaceDN w:val="0"/>
        <w:adjustRightInd w:val="0"/>
        <w:rPr>
          <w:rFonts w:ascii="Times New Roman" w:hAnsi="Times New Roman" w:cs="Times New Roman"/>
          <w:color w:val="000000"/>
          <w:sz w:val="22"/>
          <w:szCs w:val="22"/>
        </w:rPr>
      </w:pPr>
    </w:p>
    <w:p w14:paraId="12271597" w14:textId="77777777" w:rsidR="00C5407C" w:rsidRDefault="009C2A6D"/>
    <w:sectPr w:rsidR="00C5407C" w:rsidSect="00231BD7">
      <w:pgSz w:w="12240" w:h="15840"/>
      <w:pgMar w:top="1440" w:right="1440" w:bottom="1440" w:left="1440" w:header="720" w:footer="720" w:gutter="0"/>
      <w:cols w:space="720"/>
      <w:noEndnote/>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decimal"/>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142C"/>
    <w:rsid w:val="0042388E"/>
    <w:rsid w:val="00487E8F"/>
    <w:rsid w:val="005B732A"/>
    <w:rsid w:val="0077142C"/>
    <w:rsid w:val="00822A35"/>
    <w:rsid w:val="008E3FB6"/>
    <w:rsid w:val="009C2A6D"/>
    <w:rsid w:val="00B43BC5"/>
    <w:rsid w:val="00D42D3A"/>
    <w:rsid w:val="00E04649"/>
    <w:rsid w:val="00F94E3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7C8904AF"/>
  <w15:chartTrackingRefBased/>
  <w15:docId w15:val="{2752F734-62CA-0A4C-BD67-BB08EC28F5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7142C"/>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7142C"/>
    <w:rPr>
      <w:rFonts w:ascii="Times New Roman" w:hAnsi="Times New Roman" w:cs="Times New Roman"/>
      <w:sz w:val="18"/>
      <w:szCs w:val="18"/>
    </w:rPr>
  </w:style>
  <w:style w:type="character" w:styleId="CommentReference">
    <w:name w:val="annotation reference"/>
    <w:basedOn w:val="DefaultParagraphFont"/>
    <w:uiPriority w:val="99"/>
    <w:semiHidden/>
    <w:unhideWhenUsed/>
    <w:rsid w:val="0077142C"/>
    <w:rPr>
      <w:sz w:val="16"/>
      <w:szCs w:val="16"/>
    </w:rPr>
  </w:style>
  <w:style w:type="paragraph" w:styleId="CommentText">
    <w:name w:val="annotation text"/>
    <w:basedOn w:val="Normal"/>
    <w:link w:val="CommentTextChar"/>
    <w:uiPriority w:val="99"/>
    <w:semiHidden/>
    <w:unhideWhenUsed/>
    <w:rsid w:val="0077142C"/>
    <w:rPr>
      <w:sz w:val="20"/>
      <w:szCs w:val="20"/>
    </w:rPr>
  </w:style>
  <w:style w:type="character" w:customStyle="1" w:styleId="CommentTextChar">
    <w:name w:val="Comment Text Char"/>
    <w:basedOn w:val="DefaultParagraphFont"/>
    <w:link w:val="CommentText"/>
    <w:uiPriority w:val="99"/>
    <w:semiHidden/>
    <w:rsid w:val="0077142C"/>
    <w:rP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1007/s10529-020-02807-2" TargetMode="External"/><Relationship Id="rId18" Type="http://schemas.openxmlformats.org/officeDocument/2006/relationships/hyperlink" Target="https://doi.org/10.1039/c4cs00144c" TargetMode="External"/><Relationship Id="rId26" Type="http://schemas.openxmlformats.org/officeDocument/2006/relationships/hyperlink" Target="https://doi.org/10.3390/ijms20174200" TargetMode="External"/><Relationship Id="rId21" Type="http://schemas.openxmlformats.org/officeDocument/2006/relationships/hyperlink" Target="https://doi.org/10.1038/nprot.2007.321" TargetMode="External"/><Relationship Id="rId34" Type="http://schemas.openxmlformats.org/officeDocument/2006/relationships/hyperlink" Target="https://doi.org/10.1016/j.molstruc.2014.03.009" TargetMode="External"/><Relationship Id="rId7" Type="http://schemas.openxmlformats.org/officeDocument/2006/relationships/image" Target="media/image3.emf"/><Relationship Id="rId12" Type="http://schemas.openxmlformats.org/officeDocument/2006/relationships/hyperlink" Target="https://doi.org/10.1016/j.jmb.2013.12.026" TargetMode="External"/><Relationship Id="rId17" Type="http://schemas.openxmlformats.org/officeDocument/2006/relationships/hyperlink" Target="https://doi.org/10.1021/ed056p576" TargetMode="External"/><Relationship Id="rId25" Type="http://schemas.openxmlformats.org/officeDocument/2006/relationships/hyperlink" Target="https://doi.org/10.1038/nature12354" TargetMode="External"/><Relationship Id="rId33" Type="http://schemas.openxmlformats.org/officeDocument/2006/relationships/hyperlink" Target="https://doi.org/10.1038/nrg3927"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doi.org/10.1021/ed054p540" TargetMode="External"/><Relationship Id="rId20" Type="http://schemas.openxmlformats.org/officeDocument/2006/relationships/hyperlink" Target="https://doi.org/10.1111/mmi.12464" TargetMode="External"/><Relationship Id="rId29" Type="http://schemas.openxmlformats.org/officeDocument/2006/relationships/hyperlink" Target="https://doi.org/10.1016/0263-7855(96)00018-5"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hyperlink" Target="https://doi.org/10.1038/84397" TargetMode="External"/><Relationship Id="rId24" Type="http://schemas.openxmlformats.org/officeDocument/2006/relationships/hyperlink" Target="https://doi.org/10.1101/2020.01.16.909291" TargetMode="External"/><Relationship Id="rId32" Type="http://schemas.openxmlformats.org/officeDocument/2006/relationships/hyperlink" Target="https://doi.org/10.1021/acs.biochem.8b00928" TargetMode="External"/><Relationship Id="rId37" Type="http://schemas.openxmlformats.org/officeDocument/2006/relationships/fontTable" Target="fontTable.xml"/><Relationship Id="rId5" Type="http://schemas.openxmlformats.org/officeDocument/2006/relationships/image" Target="media/image1.emf"/><Relationship Id="rId15" Type="http://schemas.openxmlformats.org/officeDocument/2006/relationships/hyperlink" Target="https://doi.org/10.1021/bi1019258" TargetMode="External"/><Relationship Id="rId23" Type="http://schemas.openxmlformats.org/officeDocument/2006/relationships/hyperlink" Target="https://doi.org/10.1021/bi501388y" TargetMode="External"/><Relationship Id="rId28" Type="http://schemas.openxmlformats.org/officeDocument/2006/relationships/hyperlink" Target="https://doi.org/10.1002/jcc.20289" TargetMode="External"/><Relationship Id="rId36" Type="http://schemas.openxmlformats.org/officeDocument/2006/relationships/hyperlink" Target="https://doi.org/10.1385/1-59259-395-x:3" TargetMode="External"/><Relationship Id="rId10" Type="http://schemas.openxmlformats.org/officeDocument/2006/relationships/hyperlink" Target="https://doi.org/10.1242/jcs.240390" TargetMode="External"/><Relationship Id="rId19" Type="http://schemas.openxmlformats.org/officeDocument/2006/relationships/hyperlink" Target="https://doi.org/10.1128/JB.184.23.6624-6634.2002" TargetMode="External"/><Relationship Id="rId31" Type="http://schemas.openxmlformats.org/officeDocument/2006/relationships/hyperlink" Target="https://doi.org/10.1021/acschembio.6b00442" TargetMode="External"/><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hyperlink" Target="https://doi.org/10.1038/415287a" TargetMode="External"/><Relationship Id="rId22" Type="http://schemas.openxmlformats.org/officeDocument/2006/relationships/hyperlink" Target="https://doi.org/10.1016/S1359-6446(05)03610-X" TargetMode="External"/><Relationship Id="rId27" Type="http://schemas.openxmlformats.org/officeDocument/2006/relationships/hyperlink" Target="https://doi.org/10.3390/ijms21051644" TargetMode="External"/><Relationship Id="rId30" Type="http://schemas.openxmlformats.org/officeDocument/2006/relationships/hyperlink" Target="https://doi.org/10.1073/pnas.96.20.11241" TargetMode="External"/><Relationship Id="rId35" Type="http://schemas.openxmlformats.org/officeDocument/2006/relationships/hyperlink" Target="https://doi.org/10.1021/ac00217a002" TargetMode="External"/><Relationship Id="rId8" Type="http://schemas.openxmlformats.org/officeDocument/2006/relationships/image" Target="media/image4.emf"/><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TotalTime>
  <Pages>8</Pages>
  <Words>4385</Words>
  <Characters>19606</Characters>
  <Application>Microsoft Office Word</Application>
  <DocSecurity>0</DocSecurity>
  <Lines>1633</Lines>
  <Paragraphs>726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 Ke</dc:creator>
  <cp:keywords/>
  <dc:description/>
  <cp:lastModifiedBy>Ji, Ke</cp:lastModifiedBy>
  <cp:revision>3</cp:revision>
  <dcterms:created xsi:type="dcterms:W3CDTF">2020-04-07T03:42:00Z</dcterms:created>
  <dcterms:modified xsi:type="dcterms:W3CDTF">2021-09-30T21:15:00Z</dcterms:modified>
</cp:coreProperties>
</file>